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0" w:type="dxa"/>
        <w:jc w:val="right"/>
        <w:tblInd w:w="0" w:type="dxa"/>
        <w:tblLayout w:type="fixed"/>
        <w:tblCellMar>
          <w:top w:w="55" w:type="dxa"/>
          <w:left w:w="55" w:type="dxa"/>
          <w:bottom w:w="55" w:type="dxa"/>
          <w:right w:w="55" w:type="dxa"/>
        </w:tblCellMar>
      </w:tblPr>
      <w:tblGrid>
        <w:gridCol w:w="4739"/>
        <w:gridCol w:w="4890"/>
      </w:tblGrid>
      <w:tr>
        <w:trPr>
          <w:trHeight w:val="50" w:hRule="atLeast"/>
        </w:trPr>
        <w:tc>
          <w:tcPr>
            <w:tcW w:w="4739" w:type="dxa"/>
            <w:tcBorders/>
          </w:tcPr>
          <w:p>
            <w:pPr>
              <w:pStyle w:val="user4"/>
              <w:rPr>
                <w:sz w:val="28"/>
                <w:szCs w:val="28"/>
              </w:rPr>
            </w:pPr>
            <w:bookmarkStart w:id="0" w:name="__DdeLink__1230_2260890563"/>
            <w:bookmarkEnd w:id="0"/>
            <w:r>
              <w:rPr>
                <w:sz w:val="28"/>
                <w:szCs w:val="28"/>
              </w:rPr>
              <w:t>СОГЛАСОВАНО</w:t>
            </w:r>
          </w:p>
          <w:p>
            <w:pPr>
              <w:pStyle w:val="user4"/>
              <w:rPr>
                <w:sz w:val="28"/>
                <w:szCs w:val="28"/>
              </w:rPr>
            </w:pPr>
            <w:r>
              <w:rPr>
                <w:sz w:val="28"/>
                <w:szCs w:val="28"/>
              </w:rPr>
              <w:t>профсоюзным комитетом</w:t>
            </w:r>
          </w:p>
          <w:p>
            <w:pPr>
              <w:pStyle w:val="user4"/>
              <w:rPr>
                <w:sz w:val="28"/>
                <w:szCs w:val="28"/>
              </w:rPr>
            </w:pPr>
            <w:r>
              <w:rPr>
                <w:sz w:val="28"/>
                <w:szCs w:val="28"/>
              </w:rPr>
              <w:t xml:space="preserve"> </w:t>
            </w:r>
            <w:r>
              <w:rPr>
                <w:sz w:val="28"/>
                <w:szCs w:val="28"/>
              </w:rPr>
              <w:t>МАДОУ Центр развития ребенка —</w:t>
            </w:r>
          </w:p>
          <w:p>
            <w:pPr>
              <w:pStyle w:val="user4"/>
              <w:rPr>
                <w:sz w:val="28"/>
                <w:szCs w:val="28"/>
              </w:rPr>
            </w:pPr>
            <w:r>
              <w:rPr>
                <w:sz w:val="28"/>
                <w:szCs w:val="28"/>
              </w:rPr>
              <w:t>детский сад № 10 «Ляйсан» г.Дюртюли</w:t>
            </w:r>
          </w:p>
          <w:p>
            <w:pPr>
              <w:pStyle w:val="user4"/>
              <w:rPr>
                <w:sz w:val="28"/>
                <w:szCs w:val="28"/>
              </w:rPr>
            </w:pPr>
            <w:bookmarkStart w:id="1" w:name="__DdeLink__1231_503035456"/>
            <w:r>
              <w:rPr>
                <w:sz w:val="28"/>
                <w:szCs w:val="28"/>
              </w:rPr>
              <w:t xml:space="preserve">(протокол от </w:t>
            </w:r>
            <w:r>
              <w:rPr>
                <w:sz w:val="28"/>
                <w:szCs w:val="28"/>
              </w:rPr>
              <w:t>22.12.202</w:t>
            </w:r>
            <w:r>
              <w:rPr>
                <w:color w:val="000000"/>
                <w:sz w:val="28"/>
                <w:szCs w:val="28"/>
              </w:rPr>
              <w:t>5</w:t>
            </w:r>
            <w:r>
              <w:rPr>
                <w:color w:val="000000"/>
                <w:sz w:val="28"/>
                <w:szCs w:val="28"/>
              </w:rPr>
              <w:t xml:space="preserve">г. № </w:t>
            </w:r>
            <w:r>
              <w:rPr>
                <w:color w:val="000000"/>
                <w:sz w:val="28"/>
                <w:szCs w:val="28"/>
              </w:rPr>
              <w:t>32</w:t>
            </w:r>
            <w:r>
              <w:rPr>
                <w:color w:val="000000"/>
                <w:sz w:val="28"/>
                <w:szCs w:val="28"/>
              </w:rPr>
              <w:t>)</w:t>
            </w:r>
            <w:bookmarkEnd w:id="1"/>
          </w:p>
          <w:p>
            <w:pPr>
              <w:pStyle w:val="user4"/>
              <w:rPr>
                <w:sz w:val="28"/>
                <w:szCs w:val="28"/>
              </w:rPr>
            </w:pPr>
            <w:r>
              <w:rPr>
                <w:sz w:val="28"/>
                <w:szCs w:val="28"/>
              </w:rPr>
            </w:r>
            <w:bookmarkStart w:id="2" w:name="__DdeLink__1230_2260890563_Копия_1"/>
            <w:bookmarkStart w:id="3" w:name="__DdeLink__1230_2260890563_Копия_1"/>
            <w:bookmarkEnd w:id="3"/>
          </w:p>
        </w:tc>
        <w:tc>
          <w:tcPr>
            <w:tcW w:w="4890" w:type="dxa"/>
            <w:tcBorders/>
          </w:tcPr>
          <w:p>
            <w:pPr>
              <w:pStyle w:val="user4"/>
              <w:rPr>
                <w:sz w:val="28"/>
                <w:szCs w:val="28"/>
              </w:rPr>
            </w:pPr>
            <w:r>
              <w:rPr>
                <w:sz w:val="28"/>
                <w:szCs w:val="28"/>
              </w:rPr>
              <w:t>УТВЕРЖДЕНО</w:t>
            </w:r>
          </w:p>
          <w:p>
            <w:pPr>
              <w:pStyle w:val="user4"/>
              <w:rPr>
                <w:sz w:val="28"/>
                <w:szCs w:val="28"/>
              </w:rPr>
            </w:pPr>
            <w:r>
              <w:rPr>
                <w:sz w:val="28"/>
                <w:szCs w:val="28"/>
              </w:rPr>
              <w:t>приказом МАДОУ Центр развития ребенка — детский сад № 10 «Ляйсан» г.Дюртюли</w:t>
            </w:r>
          </w:p>
          <w:p>
            <w:pPr>
              <w:pStyle w:val="user4"/>
              <w:rPr>
                <w:sz w:val="28"/>
                <w:szCs w:val="28"/>
              </w:rPr>
            </w:pPr>
            <w:r>
              <w:rPr>
                <w:sz w:val="28"/>
                <w:szCs w:val="28"/>
              </w:rPr>
              <w:t>от</w:t>
            </w:r>
            <w:r>
              <w:rPr>
                <w:color w:val="000000"/>
                <w:sz w:val="28"/>
                <w:szCs w:val="28"/>
              </w:rPr>
              <w:t xml:space="preserve"> </w:t>
            </w:r>
            <w:r>
              <w:rPr>
                <w:color w:val="000000"/>
                <w:sz w:val="28"/>
                <w:szCs w:val="28"/>
              </w:rPr>
              <w:t>22.12.2025г. № 312</w:t>
            </w:r>
          </w:p>
        </w:tc>
      </w:tr>
      <w:tr>
        <w:trPr/>
        <w:tc>
          <w:tcPr>
            <w:tcW w:w="4739" w:type="dxa"/>
            <w:tcBorders/>
          </w:tcPr>
          <w:p>
            <w:pPr>
              <w:pStyle w:val="user4"/>
              <w:rPr>
                <w:sz w:val="28"/>
                <w:szCs w:val="28"/>
              </w:rPr>
            </w:pPr>
            <w:r>
              <w:rPr>
                <w:sz w:val="28"/>
                <w:szCs w:val="28"/>
              </w:rPr>
              <w:t>СОГЛАСОВАНО</w:t>
            </w:r>
          </w:p>
          <w:p>
            <w:pPr>
              <w:pStyle w:val="user4"/>
              <w:rPr>
                <w:sz w:val="28"/>
                <w:szCs w:val="28"/>
              </w:rPr>
            </w:pPr>
            <w:r>
              <w:rPr>
                <w:sz w:val="28"/>
                <w:szCs w:val="28"/>
              </w:rPr>
              <w:t>общим собранием</w:t>
            </w:r>
          </w:p>
          <w:p>
            <w:pPr>
              <w:pStyle w:val="user4"/>
              <w:rPr>
                <w:sz w:val="28"/>
                <w:szCs w:val="28"/>
              </w:rPr>
            </w:pPr>
            <w:r>
              <w:rPr>
                <w:sz w:val="28"/>
                <w:szCs w:val="28"/>
              </w:rPr>
              <w:t xml:space="preserve"> </w:t>
            </w:r>
            <w:r>
              <w:rPr>
                <w:sz w:val="28"/>
                <w:szCs w:val="28"/>
              </w:rPr>
              <w:t>МАДОУ Центр развития ребенка —</w:t>
            </w:r>
          </w:p>
          <w:p>
            <w:pPr>
              <w:pStyle w:val="user4"/>
              <w:rPr>
                <w:sz w:val="28"/>
                <w:szCs w:val="28"/>
              </w:rPr>
            </w:pPr>
            <w:r>
              <w:rPr>
                <w:sz w:val="28"/>
                <w:szCs w:val="28"/>
              </w:rPr>
              <w:t>детский сад № 10 «Ляйсан» г.Дюртюли</w:t>
            </w:r>
          </w:p>
          <w:p>
            <w:pPr>
              <w:pStyle w:val="user4"/>
              <w:rPr>
                <w:sz w:val="28"/>
                <w:szCs w:val="28"/>
              </w:rPr>
            </w:pPr>
            <w:r>
              <w:rPr>
                <w:sz w:val="28"/>
                <w:szCs w:val="28"/>
              </w:rPr>
              <w:t xml:space="preserve">(протокол от </w:t>
            </w:r>
            <w:r>
              <w:rPr>
                <w:sz w:val="28"/>
                <w:szCs w:val="28"/>
              </w:rPr>
              <w:t>22.12.</w:t>
            </w:r>
            <w:r>
              <w:rPr>
                <w:color w:val="000000"/>
                <w:sz w:val="28"/>
                <w:szCs w:val="28"/>
              </w:rPr>
              <w:t xml:space="preserve">2025г. № </w:t>
            </w:r>
            <w:r>
              <w:rPr>
                <w:color w:val="000000"/>
                <w:sz w:val="28"/>
                <w:szCs w:val="28"/>
              </w:rPr>
              <w:t>2</w:t>
            </w:r>
            <w:r>
              <w:rPr>
                <w:color w:val="000000"/>
                <w:sz w:val="28"/>
                <w:szCs w:val="28"/>
              </w:rPr>
              <w:t>)</w:t>
            </w:r>
          </w:p>
        </w:tc>
        <w:tc>
          <w:tcPr>
            <w:tcW w:w="4890" w:type="dxa"/>
            <w:tcBorders/>
          </w:tcPr>
          <w:p>
            <w:pPr>
              <w:pStyle w:val="user4"/>
              <w:rPr>
                <w:sz w:val="28"/>
                <w:szCs w:val="28"/>
              </w:rPr>
            </w:pPr>
            <w:r>
              <w:rPr>
                <w:sz w:val="28"/>
                <w:szCs w:val="28"/>
              </w:rPr>
            </w:r>
          </w:p>
        </w:tc>
      </w:tr>
    </w:tbl>
    <w:p>
      <w:pPr>
        <w:pStyle w:val="Normal"/>
        <w:jc w:val="both"/>
        <w:rPr>
          <w:b/>
          <w:bCs/>
          <w:i/>
          <w:i/>
        </w:rPr>
      </w:pPr>
      <w:r>
        <w:rPr>
          <w:b/>
          <w:bCs/>
          <w:i/>
        </w:rPr>
      </w:r>
    </w:p>
    <w:p>
      <w:pPr>
        <w:pStyle w:val="Normal"/>
        <w:jc w:val="both"/>
        <w:rPr>
          <w:b/>
          <w:bCs/>
          <w:i/>
          <w:i/>
        </w:rPr>
      </w:pPr>
      <w:r>
        <w:rPr>
          <w:b/>
          <w:bCs/>
          <w:i/>
        </w:rPr>
      </w:r>
    </w:p>
    <w:p>
      <w:pPr>
        <w:pStyle w:val="BodyTextIndent2"/>
        <w:spacing w:before="0" w:after="0"/>
        <w:ind w:hanging="0"/>
        <w:rPr>
          <w:sz w:val="28"/>
          <w:szCs w:val="28"/>
        </w:rPr>
      </w:pPr>
      <w:r>
        <w:rPr>
          <w:sz w:val="28"/>
          <w:szCs w:val="28"/>
        </w:rPr>
      </w:r>
    </w:p>
    <w:p>
      <w:pPr>
        <w:pStyle w:val="BodyTextIndent2"/>
        <w:spacing w:before="0" w:after="0"/>
        <w:ind w:hanging="0"/>
        <w:rPr>
          <w:b/>
          <w:sz w:val="28"/>
          <w:szCs w:val="28"/>
        </w:rPr>
      </w:pPr>
      <w:r>
        <w:rPr>
          <w:b/>
          <w:sz w:val="28"/>
          <w:szCs w:val="28"/>
        </w:rPr>
        <w:t>ПОЛОЖЕНИЕ</w:t>
      </w:r>
    </w:p>
    <w:p>
      <w:pPr>
        <w:pStyle w:val="BodyTextIndent2"/>
        <w:spacing w:before="0" w:after="0"/>
        <w:ind w:hanging="0"/>
        <w:rPr>
          <w:b/>
          <w:sz w:val="28"/>
          <w:szCs w:val="28"/>
        </w:rPr>
      </w:pPr>
      <w:r>
        <w:rPr>
          <w:b/>
          <w:sz w:val="28"/>
          <w:szCs w:val="28"/>
        </w:rPr>
        <w:t xml:space="preserve">об оплате труда работников </w:t>
      </w:r>
    </w:p>
    <w:p>
      <w:pPr>
        <w:pStyle w:val="BodyTextIndent2"/>
        <w:spacing w:before="0" w:after="0"/>
        <w:ind w:hanging="0"/>
        <w:rPr>
          <w:b/>
          <w:sz w:val="28"/>
          <w:szCs w:val="28"/>
        </w:rPr>
      </w:pPr>
      <w:r>
        <w:rPr>
          <w:b/>
          <w:sz w:val="28"/>
          <w:szCs w:val="28"/>
        </w:rPr>
        <w:t>муниципального автономного  дошкольного образовательного учреждения Центр развития ребенка - детский сад № 10 «Ляйсан» города Дюртюли  муниципального района Дюртюлинский район Республики Башкортостан</w:t>
      </w:r>
    </w:p>
    <w:p>
      <w:pPr>
        <w:pStyle w:val="BodyTextIndent2"/>
        <w:spacing w:before="0" w:after="0"/>
        <w:ind w:hanging="0"/>
        <w:rPr>
          <w:b/>
          <w:sz w:val="28"/>
          <w:szCs w:val="28"/>
        </w:rPr>
      </w:pPr>
      <w:r>
        <w:rPr>
          <w:b/>
          <w:sz w:val="28"/>
          <w:szCs w:val="28"/>
        </w:rPr>
      </w:r>
    </w:p>
    <w:p>
      <w:pPr>
        <w:pStyle w:val="ConsPlusNormal"/>
        <w:widowControl/>
        <w:ind w:hanging="0"/>
        <w:jc w:val="center"/>
        <w:rPr>
          <w:rFonts w:ascii="Times New Roman" w:hAnsi="Times New Roman" w:cs="Times New Roman"/>
          <w:b/>
          <w:sz w:val="28"/>
          <w:szCs w:val="28"/>
        </w:rPr>
      </w:pPr>
      <w:r>
        <w:rPr>
          <w:rFonts w:cs="Times New Roman" w:ascii="Times New Roman" w:hAnsi="Times New Roman"/>
          <w:b/>
          <w:sz w:val="28"/>
          <w:szCs w:val="28"/>
        </w:rPr>
        <w:t>1.</w:t>
        <w:tab/>
        <w:t>Общие положения</w:t>
      </w:r>
    </w:p>
    <w:p>
      <w:pPr>
        <w:pStyle w:val="ConsPlusNormal"/>
        <w:widowControl/>
        <w:ind w:hanging="0"/>
        <w:jc w:val="center"/>
        <w:rPr>
          <w:rFonts w:ascii="Times New Roman" w:hAnsi="Times New Roman" w:cs="Times New Roman"/>
          <w:b/>
          <w:sz w:val="28"/>
          <w:szCs w:val="28"/>
        </w:rPr>
      </w:pPr>
      <w:r>
        <w:rPr>
          <w:rFonts w:cs="Times New Roman" w:ascii="Times New Roman" w:hAnsi="Times New Roman"/>
          <w:b/>
          <w:sz w:val="28"/>
          <w:szCs w:val="28"/>
        </w:rPr>
      </w:r>
    </w:p>
    <w:p>
      <w:pPr>
        <w:pStyle w:val="BodyTextIndent2"/>
        <w:spacing w:before="0" w:after="0"/>
        <w:ind w:hanging="0"/>
        <w:jc w:val="both"/>
        <w:rPr>
          <w:sz w:val="28"/>
          <w:szCs w:val="28"/>
        </w:rPr>
      </w:pPr>
      <w:r>
        <w:rPr>
          <w:sz w:val="28"/>
          <w:szCs w:val="28"/>
        </w:rPr>
        <w:t xml:space="preserve">  </w:t>
      </w:r>
      <w:r>
        <w:rPr>
          <w:sz w:val="28"/>
          <w:szCs w:val="28"/>
        </w:rPr>
        <w:tab/>
        <w:t>1.1.</w:t>
        <w:tab/>
        <w:t xml:space="preserve">Настоящее Положение об оплате труда работников </w:t>
      </w:r>
      <w:r>
        <w:rPr>
          <w:b w:val="false"/>
          <w:bCs w:val="false"/>
          <w:sz w:val="28"/>
          <w:szCs w:val="28"/>
        </w:rPr>
        <w:t xml:space="preserve">муниципального автономного дошкольного образовательного учреждения Центр развития ребенка - детский сад № 10 «Ляйсан» города Дюртюли  муниципального района Дюртюлинский район Республики Башкортостан </w:t>
      </w:r>
      <w:r>
        <w:rPr>
          <w:sz w:val="28"/>
          <w:szCs w:val="28"/>
        </w:rPr>
        <w:t>(далее – Положение) разработано в соответствии с</w:t>
      </w:r>
      <w:r>
        <w:rPr>
          <w:color w:val="FF0000"/>
          <w:sz w:val="28"/>
          <w:szCs w:val="28"/>
        </w:rPr>
        <w:t xml:space="preserve"> </w:t>
      </w:r>
      <w:r>
        <w:rPr>
          <w:sz w:val="28"/>
          <w:szCs w:val="28"/>
        </w:rPr>
        <w:t>Положением об оплате труда работников государственных учреждений образования Республики Башкортостан, утвержденным постановлением Правительства Республики Башкортостан от 27 октября 2008 года №374, Положением об оплате труда работников учреждений образования муниципального района Дюртюлинский район Республики Башкортостан, утвержденным постановлением Администрации  муниципального района Дюртюлинский район Республики Башкортостан  от 10.12.2025 № 730, нормативными правовыми актами Российской Федерации и Республики Башкортостан, содержащими нормы трудового права.</w:t>
      </w:r>
    </w:p>
    <w:p>
      <w:pPr>
        <w:pStyle w:val="BodyTextIndent2"/>
        <w:spacing w:before="0" w:after="0"/>
        <w:ind w:firstLine="709"/>
        <w:jc w:val="both"/>
        <w:rPr>
          <w:sz w:val="28"/>
          <w:szCs w:val="28"/>
        </w:rPr>
      </w:pPr>
      <w:r>
        <w:rPr>
          <w:sz w:val="28"/>
          <w:szCs w:val="28"/>
        </w:rPr>
        <w:t>1.2.</w:t>
        <w:tab/>
        <w:t>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pPr>
        <w:pStyle w:val="BodyTextIndent2"/>
        <w:spacing w:before="0" w:after="0"/>
        <w:ind w:firstLine="709"/>
        <w:jc w:val="both"/>
        <w:rPr>
          <w:sz w:val="28"/>
          <w:szCs w:val="28"/>
        </w:rPr>
      </w:pPr>
      <w:r>
        <w:rPr>
          <w:sz w:val="28"/>
          <w:szCs w:val="28"/>
        </w:rPr>
        <w:t>1.3.</w:t>
        <w:tab/>
        <w:t>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pPr>
        <w:pStyle w:val="BodyTextIndent2"/>
        <w:spacing w:before="0" w:after="0"/>
        <w:ind w:firstLine="709"/>
        <w:jc w:val="both"/>
        <w:rPr>
          <w:sz w:val="28"/>
          <w:szCs w:val="28"/>
        </w:rPr>
      </w:pPr>
      <w:r>
        <w:rPr>
          <w:bCs/>
          <w:sz w:val="28"/>
          <w:szCs w:val="28"/>
        </w:rPr>
        <w:t>1.4.</w:t>
        <w:tab/>
        <w:t>Р</w:t>
      </w:r>
      <w:r>
        <w:rPr>
          <w:sz w:val="28"/>
          <w:szCs w:val="28"/>
        </w:rPr>
        <w:t xml:space="preserve">азмеры ставок заработной платы, окладов (должностных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w:t>
      </w:r>
      <w:hyperlink r:id="rId2"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КонсультантПлюс">
        <w:r>
          <w:rPr>
            <w:rStyle w:val="Style6"/>
            <w:sz w:val="28"/>
            <w:szCs w:val="28"/>
          </w:rPr>
          <w:t>N 247н</w:t>
        </w:r>
      </w:hyperlink>
      <w:r>
        <w:rPr>
          <w:sz w:val="28"/>
          <w:szCs w:val="28"/>
        </w:rPr>
        <w:t xml:space="preserve">, от 29 мая                 2008 года </w:t>
      </w:r>
      <w:hyperlink r:id="rId3"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КонсультантПлюс}">
        <w:r>
          <w:rPr>
            <w:rStyle w:val="Style6"/>
            <w:sz w:val="28"/>
            <w:szCs w:val="28"/>
          </w:rPr>
          <w:t>N 248н</w:t>
        </w:r>
      </w:hyperlink>
      <w:r>
        <w:rPr>
          <w:sz w:val="28"/>
          <w:szCs w:val="28"/>
        </w:rPr>
        <w:t xml:space="preserve">, от 5 мая 2008 года </w:t>
      </w:r>
      <w:hyperlink r:id="rId4"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КонсультантПлюс}">
        <w:r>
          <w:rPr>
            <w:rStyle w:val="Style6"/>
            <w:sz w:val="28"/>
            <w:szCs w:val="28"/>
          </w:rPr>
          <w:t>N 216н</w:t>
        </w:r>
      </w:hyperlink>
      <w:r>
        <w:rPr>
          <w:sz w:val="28"/>
          <w:szCs w:val="28"/>
        </w:rPr>
        <w:t xml:space="preserve">, </w:t>
      </w:r>
      <w:r>
        <w:rPr>
          <w:bCs/>
          <w:sz w:val="28"/>
          <w:szCs w:val="28"/>
        </w:rPr>
        <w:t>от 27 февраля 2012 года № 165 н, от 31 августа 2007 года № 570, от 6 августа 2007 года № 526.</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1.5. 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w:t>
      </w:r>
      <w:r>
        <w:rPr>
          <w:sz w:val="28"/>
          <w:szCs w:val="28"/>
        </w:rPr>
        <w:t>т</w:t>
      </w:r>
      <w:r>
        <w:rPr>
          <w:rFonts w:cs="Times New Roman" w:ascii="Times New Roman" w:hAnsi="Times New Roman"/>
          <w:sz w:val="28"/>
          <w:szCs w:val="28"/>
        </w:rPr>
        <w:t>)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1.6. Ставки заработной платы, оклады (должностные оклады) работников (за исключением руководителя организации, заместителей руководителя) 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1.7. Оплата труда воспитателей, учителей-логопедов, музыкальных руководителей, инструкторов по физической культуре устанавливается исходя из тарифицируемой педагогической нагрузки.</w:t>
      </w:r>
    </w:p>
    <w:p>
      <w:pPr>
        <w:pStyle w:val="NormalWeb"/>
        <w:spacing w:lineRule="atLeast" w:line="288" w:beforeAutospacing="0" w:before="0" w:afterAutospacing="0" w:after="0"/>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Оплата за фактическую нагрузку определяется путем умножения размера ставки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заработной платы, являющуюся нормируемой частью педагогической работы, в соответствии с </w:t>
      </w:r>
      <w:r>
        <w:rPr>
          <w:rFonts w:eastAsia="Times New Roman" w:cs="Times New Roman" w:ascii="Times New Roman" w:hAnsi="Times New Roman"/>
          <w:sz w:val="28"/>
          <w:szCs w:val="28"/>
        </w:rPr>
        <w:t xml:space="preserve">Приказом Минпросвещения России от 4 апреля 2025 года N </w:t>
      </w:r>
      <w:r>
        <w:rPr>
          <w:rFonts w:cs="Times New Roman" w:ascii="Times New Roman" w:hAnsi="Times New Roman"/>
          <w:sz w:val="28"/>
          <w:szCs w:val="28"/>
        </w:rPr>
        <w:t>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(далее - оплата за фактическую нагрузку).</w:t>
      </w:r>
    </w:p>
    <w:p>
      <w:pPr>
        <w:pStyle w:val="NormalWeb"/>
        <w:spacing w:lineRule="atLeast" w:line="288" w:beforeAutospacing="0" w:before="0" w:afterAutospacing="0" w:after="0"/>
        <w:ind w:firstLine="709"/>
        <w:jc w:val="both"/>
        <w:rPr>
          <w:rFonts w:ascii="Times New Roman" w:hAnsi="Times New Roman" w:cs="Times New Roman"/>
          <w:sz w:val="28"/>
          <w:szCs w:val="28"/>
        </w:rPr>
      </w:pPr>
      <w:r>
        <w:rPr>
          <w:rFonts w:cs="Times New Roman" w:ascii="Times New Roman" w:hAnsi="Times New Roman"/>
          <w:sz w:val="28"/>
          <w:szCs w:val="28"/>
        </w:rPr>
        <w:t>1.8.</w:t>
        <w:tab/>
        <w:t>Месячная заработная плата работника, полностью отработавшего за этот период норму рабочего времени и выполнившего нормы труда (трудовые обязанности), должна быть не ниже минимального размера оплаты труда (далее – МРОТ). В соответствии с правовыми позициями Конституционного Суда Российской Федерации при доведении заработной платы до МРОТ не учитываются:</w:t>
      </w:r>
    </w:p>
    <w:p>
      <w:pPr>
        <w:pStyle w:val="NormalWeb"/>
        <w:spacing w:lineRule="atLeast" w:line="288" w:beforeAutospacing="0" w:before="0" w:afterAutospacing="0" w:after="0"/>
        <w:ind w:firstLine="709"/>
        <w:jc w:val="both"/>
        <w:rPr>
          <w:rFonts w:ascii="Times New Roman" w:hAnsi="Times New Roman" w:cs="Times New Roman"/>
          <w:sz w:val="28"/>
          <w:szCs w:val="28"/>
        </w:rPr>
      </w:pPr>
      <w:r>
        <w:rPr>
          <w:rFonts w:cs="Times New Roman" w:ascii="Times New Roman" w:hAnsi="Times New Roman"/>
          <w:sz w:val="28"/>
          <w:szCs w:val="28"/>
        </w:rPr>
        <w:t>а) районный коэффициент – 1,15*;</w:t>
      </w:r>
    </w:p>
    <w:p>
      <w:pPr>
        <w:pStyle w:val="NormalWeb"/>
        <w:spacing w:lineRule="atLeast" w:line="288" w:beforeAutospacing="0" w:before="0" w:afterAutospacing="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б) выплаты за сверхурочную, ночную работы, за работу в выходные </w:t>
        <w:br/>
        <w:t>и нерабочие праздничные дни**;</w:t>
      </w:r>
    </w:p>
    <w:p>
      <w:pPr>
        <w:pStyle w:val="NormalWeb"/>
        <w:spacing w:lineRule="atLeast" w:line="288" w:beforeAutospacing="0" w:before="0" w:afterAutospacing="0" w:after="0"/>
        <w:ind w:firstLine="709"/>
        <w:jc w:val="both"/>
        <w:rPr>
          <w:rFonts w:ascii="Times New Roman" w:hAnsi="Times New Roman" w:cs="Times New Roman"/>
          <w:sz w:val="28"/>
          <w:szCs w:val="28"/>
        </w:rPr>
      </w:pPr>
      <w:r>
        <w:rPr>
          <w:rFonts w:cs="Times New Roman" w:ascii="Times New Roman" w:hAnsi="Times New Roman"/>
          <w:sz w:val="28"/>
          <w:szCs w:val="28"/>
        </w:rPr>
        <w:t>в) выплаты за совмещение профессий (должностей) ***;</w:t>
      </w:r>
    </w:p>
    <w:p>
      <w:pPr>
        <w:pStyle w:val="NormalWeb"/>
        <w:spacing w:lineRule="atLeast" w:line="288" w:beforeAutospacing="0" w:before="0" w:afterAutospacing="0" w:after="0"/>
        <w:ind w:firstLine="709"/>
        <w:jc w:val="both"/>
        <w:rPr>
          <w:rFonts w:ascii="Times New Roman" w:hAnsi="Times New Roman" w:cs="Times New Roman"/>
          <w:sz w:val="28"/>
          <w:szCs w:val="28"/>
        </w:rPr>
      </w:pPr>
      <w:r>
        <w:rPr>
          <w:rFonts w:cs="Times New Roman" w:ascii="Times New Roman" w:hAnsi="Times New Roman"/>
          <w:sz w:val="28"/>
          <w:szCs w:val="28"/>
        </w:rPr>
        <w:t>г) выплаты педагогическими работниками, в том числе:</w:t>
      </w:r>
    </w:p>
    <w:p>
      <w:pPr>
        <w:pStyle w:val="NormalWeb"/>
        <w:spacing w:lineRule="atLeast" w:line="288" w:beforeAutospacing="0" w:before="0" w:afterAutospacing="0" w:after="0"/>
        <w:ind w:firstLine="709"/>
        <w:jc w:val="both"/>
        <w:rPr>
          <w:rFonts w:ascii="Times New Roman" w:hAnsi="Times New Roman" w:cs="Times New Roman"/>
          <w:sz w:val="28"/>
          <w:szCs w:val="28"/>
        </w:rPr>
      </w:pPr>
      <w:r>
        <w:rPr>
          <w:rFonts w:cs="Times New Roman" w:ascii="Times New Roman" w:hAnsi="Times New Roman"/>
          <w:sz w:val="28"/>
          <w:szCs w:val="28"/>
        </w:rPr>
        <w:t>за учебную (преподавательскую) работу сверх установленной нормы часов педагогической работы за ставку заработной платы;</w:t>
      </w:r>
    </w:p>
    <w:p>
      <w:pPr>
        <w:pStyle w:val="NormalWeb"/>
        <w:spacing w:lineRule="atLeast" w:line="288" w:beforeAutospacing="0" w:before="0" w:afterAutospacing="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за дополнительные виды работ, непосредственно связанные с образовательной деятельностью, но не предусмотренные квалификационными характеристиками по занимаемой должности: за классное руководство, за проверку письменных работ, заведование кабинетами, лабораториями, мастерскими, учебно-опытными участками, за руководство методическими объединениями и другие виды дополнительных работ, не входящих в должностные обязанности работников****;</w:t>
      </w:r>
    </w:p>
    <w:p>
      <w:pPr>
        <w:pStyle w:val="NormalWeb"/>
        <w:spacing w:lineRule="atLeast" w:line="288" w:beforeAutospacing="0" w:before="0" w:afterAutospacing="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 выплаты за работу в особых условиях или условиях, отклоняющихся </w:t>
        <w:br/>
        <w:t>от нормальных: поименованных в п. 5.2 настоящего Положения*****.</w:t>
      </w:r>
    </w:p>
    <w:p>
      <w:pPr>
        <w:pStyle w:val="ConsPlusNormal"/>
        <w:ind w:hanging="0"/>
        <w:jc w:val="both"/>
        <w:rPr>
          <w:rFonts w:ascii="Times New Roman" w:hAnsi="Times New Roman" w:cs="Times New Roman"/>
          <w:color w:themeColor="dark1" w:val="000000"/>
          <w:sz w:val="22"/>
          <w:szCs w:val="22"/>
        </w:rPr>
      </w:pPr>
      <w:r>
        <w:rPr>
          <w:rFonts w:cs="Times New Roman" w:ascii="Times New Roman" w:hAnsi="Times New Roman"/>
          <w:color w:themeColor="dark1" w:val="000000"/>
          <w:sz w:val="22"/>
          <w:szCs w:val="22"/>
        </w:rPr>
        <w:t>* – постановление Конституционного Суда Российской Федерации от 7 декабря 2017 года № 38-П;</w:t>
      </w:r>
    </w:p>
    <w:p>
      <w:pPr>
        <w:pStyle w:val="ConsPlusNormal"/>
        <w:ind w:hanging="0"/>
        <w:jc w:val="both"/>
        <w:rPr>
          <w:rFonts w:ascii="Times New Roman" w:hAnsi="Times New Roman" w:cs="Times New Roman"/>
          <w:color w:themeColor="dark1" w:val="000000"/>
          <w:sz w:val="22"/>
          <w:szCs w:val="22"/>
        </w:rPr>
      </w:pPr>
      <w:r>
        <w:rPr>
          <w:rFonts w:cs="Times New Roman" w:ascii="Times New Roman" w:hAnsi="Times New Roman"/>
          <w:color w:themeColor="dark1" w:val="000000"/>
          <w:sz w:val="22"/>
          <w:szCs w:val="22"/>
        </w:rPr>
        <w:t>** – постановление Конституционного Суда Российской Федерации от 11 апреля 2019 года № 17-П;</w:t>
      </w:r>
    </w:p>
    <w:p>
      <w:pPr>
        <w:pStyle w:val="ConsPlusNormal"/>
        <w:ind w:hanging="0"/>
        <w:jc w:val="both"/>
        <w:rPr>
          <w:rFonts w:ascii="Times New Roman" w:hAnsi="Times New Roman" w:cs="Times New Roman"/>
          <w:color w:themeColor="dark1" w:val="000000"/>
          <w:sz w:val="22"/>
          <w:szCs w:val="22"/>
        </w:rPr>
      </w:pPr>
      <w:r>
        <w:rPr>
          <w:rFonts w:cs="Times New Roman" w:ascii="Times New Roman" w:hAnsi="Times New Roman"/>
          <w:color w:themeColor="dark1" w:val="000000"/>
          <w:sz w:val="22"/>
          <w:szCs w:val="22"/>
        </w:rPr>
        <w:t>*** – постановление Конституционного Суда Российской Федерации от 16 декабря 2019 года № 40-П</w:t>
      </w:r>
    </w:p>
    <w:p>
      <w:pPr>
        <w:pStyle w:val="ConsPlusNormal"/>
        <w:ind w:hanging="0"/>
        <w:jc w:val="both"/>
        <w:rPr>
          <w:rFonts w:ascii="Times New Roman" w:hAnsi="Times New Roman" w:cs="Times New Roman"/>
          <w:color w:themeColor="dark1" w:val="000000"/>
          <w:sz w:val="22"/>
          <w:szCs w:val="22"/>
        </w:rPr>
      </w:pPr>
      <w:r>
        <w:rPr>
          <w:rFonts w:cs="Times New Roman" w:ascii="Times New Roman" w:hAnsi="Times New Roman"/>
          <w:color w:themeColor="dark1" w:val="000000"/>
          <w:sz w:val="22"/>
          <w:szCs w:val="22"/>
        </w:rPr>
        <w:t>****–постановление Конституционного Суда Российской Федерации от 23 сентября 2024 годаN40-П;</w:t>
      </w:r>
    </w:p>
    <w:p>
      <w:pPr>
        <w:pStyle w:val="ConsPlusNormal"/>
        <w:ind w:hanging="0"/>
        <w:jc w:val="both"/>
        <w:rPr>
          <w:rFonts w:ascii="Times New Roman" w:hAnsi="Times New Roman" w:cs="Times New Roman"/>
          <w:color w:themeColor="dark1" w:val="000000"/>
          <w:sz w:val="22"/>
          <w:szCs w:val="22"/>
        </w:rPr>
      </w:pPr>
      <w:r>
        <w:rPr>
          <w:rFonts w:cs="Times New Roman" w:ascii="Times New Roman" w:hAnsi="Times New Roman"/>
          <w:color w:themeColor="dark1" w:val="000000"/>
          <w:sz w:val="22"/>
          <w:szCs w:val="22"/>
        </w:rPr>
        <w:t>***** – постановление Конституционного Суда Российской Федерации от 5 марта 2025 года № 10-П.</w:t>
      </w:r>
    </w:p>
    <w:p>
      <w:pPr>
        <w:pStyle w:val="NormalWeb"/>
        <w:spacing w:lineRule="atLeast" w:line="288" w:beforeAutospacing="0" w:before="0" w:afterAutospacing="0" w:after="0"/>
        <w:ind w:firstLine="709"/>
        <w:jc w:val="both"/>
        <w:rPr>
          <w:rFonts w:ascii="Times New Roman" w:hAnsi="Times New Roman" w:cs="Times New Roman"/>
          <w:sz w:val="28"/>
          <w:szCs w:val="28"/>
        </w:rPr>
      </w:pPr>
      <w:r>
        <w:rPr>
          <w:rFonts w:cs="Times New Roman" w:ascii="Times New Roman" w:hAnsi="Times New Roman"/>
          <w:sz w:val="28"/>
          <w:szCs w:val="28"/>
        </w:rPr>
        <w:t>1.9.</w:t>
        <w:tab/>
        <w:t>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по другому договору, производится раздельно по каждой из должностей.</w:t>
      </w:r>
    </w:p>
    <w:p>
      <w:pPr>
        <w:pStyle w:val="Normal"/>
        <w:shd w:val="clear" w:color="auto" w:fill="FFFFFF"/>
        <w:tabs>
          <w:tab w:val="clear" w:pos="708"/>
          <w:tab w:val="left" w:pos="1445" w:leader="none"/>
        </w:tabs>
        <w:ind w:firstLine="709"/>
        <w:jc w:val="both"/>
        <w:rPr>
          <w:color w:themeColor="dark1" w:val="000000"/>
          <w:sz w:val="28"/>
          <w:szCs w:val="28"/>
        </w:rPr>
      </w:pPr>
      <w:r>
        <w:rPr>
          <w:sz w:val="28"/>
          <w:szCs w:val="28"/>
        </w:rPr>
        <w:t>1.10.</w:t>
        <w:tab/>
        <w:t>Руководитель организации несет ответственность за своевременное и правильное установление размеров заработной платы работникам согласно  законодательству.</w:t>
      </w:r>
    </w:p>
    <w:p>
      <w:pPr>
        <w:pStyle w:val="ConsPlusNormal"/>
        <w:ind w:firstLine="709"/>
        <w:jc w:val="both"/>
        <w:rPr>
          <w:rFonts w:ascii="Times New Roman" w:hAnsi="Times New Roman" w:cs="Times New Roman"/>
          <w:i/>
          <w:i/>
          <w:sz w:val="22"/>
          <w:szCs w:val="22"/>
        </w:rPr>
      </w:pPr>
      <w:r>
        <w:rPr>
          <w:rFonts w:cs="Times New Roman" w:ascii="Times New Roman" w:hAnsi="Times New Roman"/>
          <w:sz w:val="28"/>
          <w:szCs w:val="28"/>
        </w:rPr>
        <w:t>1.11. Предельная доля оплаты труда работников административно-управленческого и вспомогательного персонала в фонде оплаты труда организации устанавливается не более 40 процентов.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Основной персонал организации - ее работники, непосредственно оказывающие услуги (выполняющие работы), направленные на достижение определенных уставом организации целей деятельности, а также непосредственные руководители этих работников.</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Вспомогательный персонал организации - ее работники, создающие условия для оказания услуг (выполнения работ), направленных на достижение определенных уставом организации целей деятельности, включая обслуживание зданий и оборудования.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Административно-управленческий персонал организации – ее работники, занятые управлением (организацией) оказания услуг (выполнения работ), а также работники этой организации, выполняющие административные функции, необходимые для обеспечения ее деятельности.</w:t>
      </w:r>
    </w:p>
    <w:p>
      <w:pPr>
        <w:pStyle w:val="BodyText"/>
        <w:jc w:val="center"/>
        <w:rPr>
          <w:b w:val="false"/>
          <w:bCs w:val="false"/>
          <w:sz w:val="28"/>
          <w:szCs w:val="28"/>
        </w:rPr>
      </w:pPr>
      <w:r>
        <w:rPr>
          <w:b w:val="false"/>
          <w:bCs w:val="false"/>
          <w:sz w:val="28"/>
          <w:szCs w:val="28"/>
        </w:rPr>
      </w:r>
    </w:p>
    <w:p>
      <w:pPr>
        <w:pStyle w:val="BodyText"/>
        <w:jc w:val="center"/>
        <w:rPr>
          <w:bCs w:val="false"/>
          <w:sz w:val="28"/>
          <w:szCs w:val="28"/>
        </w:rPr>
      </w:pPr>
      <w:r>
        <w:rPr>
          <w:bCs w:val="false"/>
          <w:sz w:val="28"/>
          <w:szCs w:val="28"/>
        </w:rPr>
        <w:t>2.</w:t>
        <w:tab/>
        <w:t xml:space="preserve">Порядок и условия оплаты труда работников </w:t>
      </w:r>
    </w:p>
    <w:p>
      <w:pPr>
        <w:pStyle w:val="BodyText"/>
        <w:ind w:firstLine="709"/>
        <w:jc w:val="center"/>
        <w:rPr>
          <w:b w:val="false"/>
          <w:bCs w:val="false"/>
          <w:sz w:val="28"/>
          <w:szCs w:val="28"/>
        </w:rPr>
      </w:pPr>
      <w:r>
        <w:rPr>
          <w:b w:val="false"/>
          <w:bCs w:val="false"/>
          <w:sz w:val="28"/>
          <w:szCs w:val="28"/>
        </w:rPr>
      </w:r>
    </w:p>
    <w:p>
      <w:pPr>
        <w:pStyle w:val="BodyTextIndent2"/>
        <w:spacing w:before="0" w:after="0"/>
        <w:ind w:firstLine="709"/>
        <w:jc w:val="both"/>
        <w:rPr>
          <w:sz w:val="28"/>
          <w:szCs w:val="28"/>
        </w:rPr>
      </w:pPr>
      <w:r>
        <w:rPr>
          <w:bCs/>
          <w:sz w:val="28"/>
          <w:szCs w:val="28"/>
        </w:rPr>
        <w:t>2.1.</w:t>
        <w:tab/>
      </w:r>
      <w:r>
        <w:rPr>
          <w:sz w:val="28"/>
          <w:szCs w:val="28"/>
        </w:rPr>
        <w:t>Р</w:t>
      </w:r>
      <w:r>
        <w:rPr>
          <w:bCs/>
          <w:sz w:val="28"/>
          <w:szCs w:val="28"/>
        </w:rPr>
        <w:t xml:space="preserve">азмеры ставок заработной платы, окладов работников устанавливаются на основе отнесения занимаемых ими должностей к профессиональным квалификационным группам (ПКГ), </w:t>
      </w:r>
      <w:r>
        <w:rPr>
          <w:sz w:val="28"/>
          <w:szCs w:val="28"/>
        </w:rPr>
        <w:t>квалификационным уровням, разряду работ в соответствии с ЕТКС с учетом их профессиональной подготовки, категории; 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Администрации   муниципального района Дюртюлинский район Республики Башкортостан от 10.12.2025 № 730.</w:t>
      </w:r>
    </w:p>
    <w:p>
      <w:pPr>
        <w:pStyle w:val="BodyTextIndent2"/>
        <w:spacing w:before="0" w:after="0"/>
        <w:ind w:firstLine="709"/>
        <w:jc w:val="both"/>
        <w:rPr>
          <w:sz w:val="28"/>
          <w:szCs w:val="28"/>
        </w:rPr>
      </w:pPr>
      <w:r>
        <w:rPr>
          <w:sz w:val="28"/>
          <w:szCs w:val="28"/>
        </w:rPr>
        <w:t>В случае если должности (профессии) работников, включенные в ПКГ, не распределены по квалификационным уровням, то размеры окладов, ставок заработной платы устанавливаются в целом по соответствующей ПКГ.</w:t>
      </w:r>
    </w:p>
    <w:p>
      <w:pPr>
        <w:pStyle w:val="BodyTextIndent2"/>
        <w:spacing w:before="0" w:after="0"/>
        <w:ind w:firstLine="709"/>
        <w:jc w:val="both"/>
        <w:rPr>
          <w:b/>
          <w:bCs/>
          <w:sz w:val="28"/>
          <w:szCs w:val="28"/>
        </w:rPr>
      </w:pPr>
      <w:r>
        <w:rPr>
          <w:bCs/>
          <w:sz w:val="28"/>
          <w:szCs w:val="28"/>
        </w:rPr>
        <w:t>2.2.</w:t>
      </w:r>
      <w:r>
        <w:rPr>
          <w:sz w:val="28"/>
          <w:szCs w:val="28"/>
        </w:rPr>
        <w:tab/>
      </w:r>
      <w:bookmarkStart w:id="4" w:name="_Hlk207025370"/>
      <w:r>
        <w:rPr>
          <w:sz w:val="28"/>
          <w:szCs w:val="28"/>
        </w:rPr>
        <w:t xml:space="preserve">К окладам, ставкам заработной платы </w:t>
      </w:r>
      <w:r>
        <w:rPr>
          <w:bCs/>
          <w:sz w:val="28"/>
          <w:szCs w:val="28"/>
        </w:rPr>
        <w:t>руководителем</w:t>
      </w:r>
      <w:r>
        <w:rPr>
          <w:sz w:val="28"/>
          <w:szCs w:val="28"/>
        </w:rPr>
        <w:t xml:space="preserve"> организации устанавливаются следующие повышающие коэффициенты:</w:t>
      </w:r>
      <w:bookmarkEnd w:id="4"/>
    </w:p>
    <w:p>
      <w:pPr>
        <w:pStyle w:val="BodyTextIndent2"/>
        <w:spacing w:before="0" w:after="0"/>
        <w:ind w:firstLine="709"/>
        <w:jc w:val="both"/>
        <w:rPr>
          <w:b/>
          <w:bCs/>
          <w:sz w:val="28"/>
          <w:szCs w:val="28"/>
        </w:rPr>
      </w:pPr>
      <w:r>
        <w:rPr>
          <w:sz w:val="28"/>
          <w:szCs w:val="28"/>
        </w:rPr>
        <w:t>повышающий коэффициент к окладу по занимаемой должности;</w:t>
      </w:r>
    </w:p>
    <w:p>
      <w:pPr>
        <w:pStyle w:val="BodyText"/>
        <w:ind w:firstLine="709"/>
        <w:jc w:val="both"/>
        <w:rPr>
          <w:b w:val="false"/>
          <w:bCs w:val="false"/>
          <w:sz w:val="28"/>
          <w:szCs w:val="28"/>
        </w:rPr>
      </w:pPr>
      <w:r>
        <w:rPr>
          <w:b w:val="false"/>
          <w:bCs w:val="false"/>
          <w:sz w:val="28"/>
          <w:szCs w:val="28"/>
        </w:rPr>
        <w:t>персональный повышающий коэффициент;</w:t>
      </w:r>
    </w:p>
    <w:p>
      <w:pPr>
        <w:pStyle w:val="BodyText"/>
        <w:ind w:firstLine="709"/>
        <w:jc w:val="both"/>
        <w:rPr>
          <w:b w:val="false"/>
          <w:bCs w:val="false"/>
          <w:color w:themeColor="dark1" w:val="000000"/>
          <w:sz w:val="28"/>
          <w:szCs w:val="28"/>
        </w:rPr>
      </w:pPr>
      <w:r>
        <w:rPr>
          <w:b w:val="false"/>
          <w:bCs w:val="false"/>
          <w:sz w:val="28"/>
          <w:szCs w:val="28"/>
        </w:rPr>
        <w:t xml:space="preserve">повышающий коэффициент педагогическим работникам за </w:t>
      </w:r>
      <w:r>
        <w:rPr>
          <w:b w:val="false"/>
          <w:bCs w:val="false"/>
          <w:color w:themeColor="dark1" w:val="000000"/>
          <w:sz w:val="28"/>
          <w:szCs w:val="28"/>
        </w:rPr>
        <w:t>наличие первой или высшей квалификационной категории или стаж педагогической работы;</w:t>
      </w:r>
    </w:p>
    <w:p>
      <w:pPr>
        <w:pStyle w:val="BodyText"/>
        <w:ind w:firstLine="709"/>
        <w:jc w:val="both"/>
        <w:rPr>
          <w:b w:val="false"/>
          <w:bCs w:val="false"/>
          <w:sz w:val="28"/>
          <w:szCs w:val="28"/>
        </w:rPr>
      </w:pPr>
      <w:r>
        <w:rPr>
          <w:b w:val="false"/>
          <w:bCs w:val="false"/>
          <w:sz w:val="28"/>
          <w:szCs w:val="28"/>
        </w:rPr>
        <w:t>повышающий коэффициент за почетное звание;</w:t>
      </w:r>
    </w:p>
    <w:p>
      <w:pPr>
        <w:pStyle w:val="BodyText"/>
        <w:ind w:firstLine="709"/>
        <w:jc w:val="both"/>
        <w:rPr>
          <w:b w:val="false"/>
          <w:sz w:val="28"/>
          <w:szCs w:val="28"/>
        </w:rPr>
      </w:pPr>
      <w:r>
        <w:rPr>
          <w:b w:val="false"/>
          <w:sz w:val="28"/>
          <w:szCs w:val="28"/>
        </w:rPr>
        <w:t>повышающий коэффициент к окладу по занимаемой должности педагогу-психологу, работающему с детьми из социально неблагополучных семей;</w:t>
      </w:r>
    </w:p>
    <w:p>
      <w:pPr>
        <w:pStyle w:val="Normal"/>
        <w:tabs>
          <w:tab w:val="clear" w:pos="708"/>
          <w:tab w:val="left" w:pos="0" w:leader="none"/>
          <w:tab w:val="left" w:pos="567" w:leader="none"/>
          <w:tab w:val="left" w:pos="993"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Fonts w:eastAsia="Calibri"/>
          <w:sz w:val="30"/>
          <w:szCs w:val="30"/>
        </w:rPr>
      </w:pPr>
      <w:r>
        <w:rPr>
          <w:sz w:val="28"/>
          <w:szCs w:val="28"/>
        </w:rPr>
        <w:t>повышающий коэффициент воспитателям (учителям), ведущим занятия по национальным языкам</w:t>
      </w:r>
      <w:r>
        <w:rPr>
          <w:rFonts w:eastAsia="Calibri"/>
          <w:sz w:val="30"/>
          <w:szCs w:val="30"/>
        </w:rPr>
        <w:t>.</w:t>
      </w:r>
    </w:p>
    <w:p>
      <w:pPr>
        <w:pStyle w:val="BodyText"/>
        <w:ind w:firstLine="709"/>
        <w:jc w:val="both"/>
        <w:rPr>
          <w:b w:val="false"/>
          <w:bCs w:val="false"/>
          <w:color w:val="000000"/>
          <w:sz w:val="28"/>
          <w:szCs w:val="28"/>
        </w:rPr>
      </w:pPr>
      <w:r>
        <w:rPr>
          <w:b w:val="false"/>
          <w:bCs w:val="false"/>
          <w:sz w:val="28"/>
          <w:szCs w:val="28"/>
        </w:rPr>
        <w:t>2.3.</w:t>
        <w:tab/>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r>
        <w:rPr>
          <w:b w:val="false"/>
          <w:bCs w:val="false"/>
          <w:color w:val="000000"/>
          <w:sz w:val="28"/>
          <w:szCs w:val="28"/>
        </w:rPr>
        <w:t xml:space="preserve">. </w:t>
      </w:r>
    </w:p>
    <w:p>
      <w:pPr>
        <w:pStyle w:val="BodyText"/>
        <w:ind w:firstLine="709"/>
        <w:jc w:val="both"/>
        <w:rPr>
          <w:b w:val="false"/>
          <w:sz w:val="28"/>
          <w:szCs w:val="28"/>
        </w:rPr>
      </w:pPr>
      <w:r>
        <w:rPr>
          <w:b w:val="false"/>
          <w:color w:val="000000"/>
          <w:sz w:val="28"/>
          <w:szCs w:val="28"/>
        </w:rPr>
        <w:t xml:space="preserve">2.4. </w:t>
      </w:r>
      <w:r>
        <w:rPr>
          <w:b w:val="false"/>
          <w:sz w:val="28"/>
          <w:szCs w:val="28"/>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pPr>
        <w:pStyle w:val="BodyTextIndent2"/>
        <w:spacing w:before="0" w:after="0"/>
        <w:ind w:firstLine="709"/>
        <w:jc w:val="both"/>
        <w:rPr>
          <w:bCs/>
          <w:sz w:val="28"/>
          <w:szCs w:val="28"/>
        </w:rPr>
      </w:pPr>
      <w:r>
        <w:rPr>
          <w:sz w:val="28"/>
          <w:szCs w:val="28"/>
        </w:rPr>
        <w:t>2.5.</w:t>
        <w:tab/>
        <w:t xml:space="preserve">Повышающий коэффициент к окладу по занимаемой должности устанавливается работникам организации в зависимости от отнесения должности к соответствующей категории или квалификационному уровню по ПКГ. </w:t>
      </w:r>
    </w:p>
    <w:p>
      <w:pPr>
        <w:pStyle w:val="BodyTextIndent2"/>
        <w:spacing w:before="0" w:after="0"/>
        <w:ind w:firstLine="709"/>
        <w:jc w:val="both"/>
        <w:rPr>
          <w:sz w:val="28"/>
          <w:szCs w:val="28"/>
        </w:rPr>
      </w:pPr>
      <w:r>
        <w:rPr>
          <w:sz w:val="28"/>
          <w:szCs w:val="28"/>
        </w:rPr>
        <w:t>2.6. С учетом условий труда работникам устанавливаются выплаты компенсационного характера, предусмотренные разделом</w:t>
      </w:r>
      <w:r>
        <w:rPr/>
        <w:t xml:space="preserve"> </w:t>
      </w:r>
      <w:r>
        <w:rPr>
          <w:sz w:val="28"/>
          <w:szCs w:val="28"/>
        </w:rPr>
        <w:t>5 настоящего Положения.</w:t>
      </w:r>
    </w:p>
    <w:p>
      <w:pPr>
        <w:pStyle w:val="BodyTextIndent2"/>
        <w:spacing w:before="0" w:after="0"/>
        <w:ind w:firstLine="709"/>
        <w:jc w:val="both"/>
        <w:rPr>
          <w:sz w:val="28"/>
          <w:szCs w:val="28"/>
        </w:rPr>
      </w:pPr>
      <w:r>
        <w:rPr>
          <w:bCs/>
          <w:sz w:val="28"/>
          <w:szCs w:val="28"/>
        </w:rPr>
        <w:t>2.7.</w:t>
      </w:r>
      <w:r>
        <w:rPr>
          <w:sz w:val="28"/>
          <w:szCs w:val="28"/>
        </w:rPr>
        <w:t xml:space="preserve"> Работникам устанавливаются стимулирующие выплаты, предусмотренные разделом 6 настоящего Положения.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BodyText"/>
        <w:jc w:val="center"/>
        <w:rPr>
          <w:bCs w:val="false"/>
          <w:sz w:val="28"/>
          <w:szCs w:val="28"/>
        </w:rPr>
      </w:pPr>
      <w:r>
        <w:rPr>
          <w:bCs w:val="false"/>
          <w:sz w:val="28"/>
          <w:szCs w:val="28"/>
        </w:rPr>
        <w:t>3.</w:t>
        <w:tab/>
        <w:t xml:space="preserve">Условия оплаты труда руководителя, </w:t>
      </w:r>
    </w:p>
    <w:p>
      <w:pPr>
        <w:pStyle w:val="BodyText"/>
        <w:jc w:val="center"/>
        <w:rPr>
          <w:bCs w:val="false"/>
          <w:sz w:val="28"/>
          <w:szCs w:val="28"/>
        </w:rPr>
      </w:pPr>
      <w:r>
        <w:rPr>
          <w:bCs w:val="false"/>
          <w:sz w:val="28"/>
          <w:szCs w:val="28"/>
        </w:rPr>
        <w:t xml:space="preserve">      </w:t>
      </w:r>
      <w:r>
        <w:rPr>
          <w:bCs w:val="false"/>
          <w:sz w:val="28"/>
          <w:szCs w:val="28"/>
        </w:rPr>
        <w:t>заместителя руководителя организации</w:t>
      </w:r>
    </w:p>
    <w:p>
      <w:pPr>
        <w:pStyle w:val="BodyText"/>
        <w:jc w:val="center"/>
        <w:rPr>
          <w:b w:val="false"/>
          <w:i/>
          <w:i/>
          <w:iCs/>
          <w:sz w:val="24"/>
        </w:rPr>
      </w:pPr>
      <w:r>
        <w:rPr>
          <w:b w:val="false"/>
          <w:bCs w:val="false"/>
          <w:i/>
          <w:sz w:val="24"/>
        </w:rPr>
        <w:t xml:space="preserve"> </w:t>
      </w:r>
      <w:r>
        <w:rPr>
          <w:b w:val="false"/>
          <w:i/>
          <w:iCs/>
          <w:sz w:val="24"/>
        </w:rPr>
        <w:t>(в положение включаются те должности, которые имеются в организации)</w:t>
      </w:r>
    </w:p>
    <w:p>
      <w:pPr>
        <w:pStyle w:val="Normal"/>
        <w:shd w:val="clear" w:color="auto" w:fill="FFFFFF"/>
        <w:ind w:firstLine="709"/>
        <w:jc w:val="both"/>
        <w:rPr>
          <w:sz w:val="28"/>
          <w:szCs w:val="28"/>
        </w:rPr>
      </w:pPr>
      <w:r>
        <w:rPr>
          <w:sz w:val="28"/>
          <w:szCs w:val="28"/>
        </w:rPr>
        <w:t>3.1.</w:t>
        <w:tab/>
        <w:t>Заработная плата руководителя, заместителя руководителя состоит из должностного оклада, выплат компенсационного и стимулирующего характера.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3.2. Должностной оклад руководителя организации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w:t>
      </w:r>
    </w:p>
    <w:tbl>
      <w:tblPr>
        <w:tblW w:w="9614" w:type="dxa"/>
        <w:jc w:val="left"/>
        <w:tblInd w:w="97" w:type="dxa"/>
        <w:tblLayout w:type="fixed"/>
        <w:tblCellMar>
          <w:top w:w="0" w:type="dxa"/>
          <w:left w:w="75" w:type="dxa"/>
          <w:bottom w:w="0" w:type="dxa"/>
          <w:right w:w="75" w:type="dxa"/>
        </w:tblCellMar>
        <w:tblLook w:val="0000"/>
      </w:tblPr>
      <w:tblGrid>
        <w:gridCol w:w="3405"/>
        <w:gridCol w:w="1515"/>
        <w:gridCol w:w="1515"/>
        <w:gridCol w:w="1650"/>
        <w:gridCol w:w="1529"/>
      </w:tblGrid>
      <w:tr>
        <w:trPr/>
        <w:tc>
          <w:tcPr>
            <w:tcW w:w="340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
              <w:jc w:val="center"/>
              <w:rPr>
                <w:rFonts w:ascii="Times New Roman" w:hAnsi="Times New Roman" w:cs="Times New Roman"/>
                <w:sz w:val="28"/>
                <w:szCs w:val="28"/>
              </w:rPr>
            </w:pPr>
            <w:r>
              <w:rPr>
                <w:rFonts w:cs="Times New Roman" w:ascii="Times New Roman" w:hAnsi="Times New Roman"/>
                <w:sz w:val="28"/>
                <w:szCs w:val="28"/>
              </w:rPr>
              <w:t>Наименование должности</w:t>
            </w:r>
          </w:p>
        </w:tc>
        <w:tc>
          <w:tcPr>
            <w:tcW w:w="6209" w:type="dxa"/>
            <w:gridSpan w:val="4"/>
            <w:tcBorders>
              <w:top w:val="single" w:sz="4" w:space="0" w:color="000000"/>
              <w:left w:val="single" w:sz="4" w:space="0" w:color="000000"/>
              <w:bottom w:val="single" w:sz="4" w:space="0" w:color="000000"/>
              <w:right w:val="single" w:sz="4" w:space="0" w:color="000000"/>
            </w:tcBorders>
            <w:vAlign w:val="center"/>
          </w:tcPr>
          <w:p>
            <w:pPr>
              <w:pStyle w:val="ConsPlusNormal"/>
              <w:jc w:val="center"/>
              <w:rPr>
                <w:rFonts w:ascii="Times New Roman" w:hAnsi="Times New Roman" w:cs="Times New Roman"/>
                <w:sz w:val="28"/>
                <w:szCs w:val="28"/>
              </w:rPr>
            </w:pPr>
            <w:r>
              <w:rPr>
                <w:rFonts w:cs="Times New Roman" w:ascii="Times New Roman" w:hAnsi="Times New Roman"/>
                <w:sz w:val="28"/>
                <w:szCs w:val="28"/>
              </w:rPr>
              <w:t>Должностной оклад по группам оплаты труда руководителей, руб.</w:t>
            </w:r>
          </w:p>
        </w:tc>
      </w:tr>
      <w:tr>
        <w:trPr/>
        <w:tc>
          <w:tcPr>
            <w:tcW w:w="3405" w:type="dxa"/>
            <w:vMerge w:val="continue"/>
            <w:tcBorders>
              <w:top w:val="single" w:sz="4" w:space="0" w:color="000000"/>
              <w:left w:val="single" w:sz="4" w:space="0" w:color="000000"/>
              <w:bottom w:val="single" w:sz="4" w:space="0" w:color="000000"/>
              <w:right w:val="single" w:sz="4" w:space="0" w:color="000000"/>
            </w:tcBorders>
          </w:tcPr>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tc>
        <w:tc>
          <w:tcPr>
            <w:tcW w:w="1515" w:type="dxa"/>
            <w:tcBorders>
              <w:top w:val="single" w:sz="4" w:space="0" w:color="000000"/>
              <w:left w:val="single" w:sz="4" w:space="0" w:color="000000"/>
              <w:bottom w:val="single" w:sz="4" w:space="0" w:color="000000"/>
              <w:right w:val="single" w:sz="4" w:space="0" w:color="000000"/>
            </w:tcBorders>
            <w:vAlign w:val="center"/>
          </w:tcPr>
          <w:p>
            <w:pPr>
              <w:pStyle w:val="ConsPlusNormal"/>
              <w:ind w:firstLine="547"/>
              <w:rPr>
                <w:rFonts w:ascii="Times New Roman" w:hAnsi="Times New Roman" w:cs="Times New Roman"/>
                <w:sz w:val="28"/>
                <w:szCs w:val="28"/>
              </w:rPr>
            </w:pPr>
            <w:r>
              <w:rPr>
                <w:rFonts w:cs="Times New Roman" w:ascii="Times New Roman" w:hAnsi="Times New Roman"/>
                <w:sz w:val="28"/>
                <w:szCs w:val="28"/>
              </w:rPr>
              <w:t>I</w:t>
            </w:r>
          </w:p>
        </w:tc>
        <w:tc>
          <w:tcPr>
            <w:tcW w:w="1515" w:type="dxa"/>
            <w:tcBorders>
              <w:top w:val="single" w:sz="4" w:space="0" w:color="000000"/>
              <w:left w:val="single" w:sz="4" w:space="0" w:color="000000"/>
              <w:bottom w:val="single" w:sz="4" w:space="0" w:color="000000"/>
              <w:right w:val="single" w:sz="4" w:space="0" w:color="000000"/>
            </w:tcBorders>
            <w:vAlign w:val="center"/>
          </w:tcPr>
          <w:p>
            <w:pPr>
              <w:pStyle w:val="ConsPlusNormal"/>
              <w:ind w:firstLine="547"/>
              <w:rPr>
                <w:rFonts w:ascii="Times New Roman" w:hAnsi="Times New Roman" w:cs="Times New Roman"/>
                <w:sz w:val="28"/>
                <w:szCs w:val="28"/>
              </w:rPr>
            </w:pPr>
            <w:r>
              <w:rPr>
                <w:rFonts w:cs="Times New Roman" w:ascii="Times New Roman" w:hAnsi="Times New Roman"/>
                <w:sz w:val="28"/>
                <w:szCs w:val="28"/>
              </w:rPr>
              <w:t>II</w:t>
            </w:r>
          </w:p>
        </w:tc>
        <w:tc>
          <w:tcPr>
            <w:tcW w:w="1650" w:type="dxa"/>
            <w:tcBorders>
              <w:top w:val="single" w:sz="4" w:space="0" w:color="000000"/>
              <w:left w:val="single" w:sz="4" w:space="0" w:color="000000"/>
              <w:bottom w:val="single" w:sz="4" w:space="0" w:color="000000"/>
              <w:right w:val="single" w:sz="4" w:space="0" w:color="000000"/>
            </w:tcBorders>
            <w:vAlign w:val="center"/>
          </w:tcPr>
          <w:p>
            <w:pPr>
              <w:pStyle w:val="ConsPlusNormal"/>
              <w:ind w:firstLine="547"/>
              <w:rPr>
                <w:rFonts w:ascii="Times New Roman" w:hAnsi="Times New Roman" w:cs="Times New Roman"/>
                <w:sz w:val="28"/>
                <w:szCs w:val="28"/>
              </w:rPr>
            </w:pPr>
            <w:r>
              <w:rPr>
                <w:rFonts w:cs="Times New Roman" w:ascii="Times New Roman" w:hAnsi="Times New Roman"/>
                <w:sz w:val="28"/>
                <w:szCs w:val="28"/>
              </w:rPr>
              <w:t>III</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ConsPlusNormal"/>
              <w:ind w:firstLine="547"/>
              <w:rPr>
                <w:rFonts w:ascii="Times New Roman" w:hAnsi="Times New Roman" w:cs="Times New Roman"/>
                <w:sz w:val="28"/>
                <w:szCs w:val="28"/>
              </w:rPr>
            </w:pPr>
            <w:r>
              <w:rPr>
                <w:rFonts w:cs="Times New Roman" w:ascii="Times New Roman" w:hAnsi="Times New Roman"/>
                <w:sz w:val="28"/>
                <w:szCs w:val="28"/>
              </w:rPr>
              <w:t>IV</w:t>
            </w:r>
          </w:p>
        </w:tc>
      </w:tr>
      <w:tr>
        <w:trPr/>
        <w:tc>
          <w:tcPr>
            <w:tcW w:w="3405" w:type="dxa"/>
            <w:tcBorders>
              <w:top w:val="single" w:sz="4" w:space="0" w:color="000000"/>
              <w:left w:val="single" w:sz="4" w:space="0" w:color="000000"/>
              <w:bottom w:val="single" w:sz="4" w:space="0" w:color="000000"/>
              <w:right w:val="single" w:sz="4" w:space="0" w:color="000000"/>
            </w:tcBorders>
          </w:tcPr>
          <w:p>
            <w:pPr>
              <w:pStyle w:val="ConsPlusNormal"/>
              <w:ind w:hanging="0"/>
              <w:rPr>
                <w:rFonts w:ascii="Times New Roman" w:hAnsi="Times New Roman" w:cs="Times New Roman"/>
                <w:sz w:val="28"/>
                <w:szCs w:val="28"/>
              </w:rPr>
            </w:pPr>
            <w:r>
              <w:rPr>
                <w:rFonts w:cs="Times New Roman" w:ascii="Times New Roman" w:hAnsi="Times New Roman"/>
                <w:sz w:val="28"/>
                <w:szCs w:val="28"/>
              </w:rPr>
              <w:t>Руководитель организации</w:t>
            </w:r>
          </w:p>
        </w:tc>
        <w:tc>
          <w:tcPr>
            <w:tcW w:w="1515"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bCs/>
                <w:color w:themeColor="dark1" w:val="000000"/>
                <w:sz w:val="24"/>
                <w:szCs w:val="24"/>
              </w:rPr>
            </w:pPr>
            <w:r>
              <w:rPr>
                <w:rFonts w:cs="Times New Roman" w:ascii="Times New Roman" w:hAnsi="Times New Roman"/>
                <w:bCs/>
                <w:color w:themeColor="dark1" w:val="000000"/>
                <w:sz w:val="24"/>
                <w:szCs w:val="24"/>
              </w:rPr>
              <w:t>18884</w:t>
            </w:r>
          </w:p>
        </w:tc>
        <w:tc>
          <w:tcPr>
            <w:tcW w:w="1515" w:type="dxa"/>
            <w:tcBorders>
              <w:top w:val="single" w:sz="4" w:space="0" w:color="000000"/>
              <w:left w:val="single" w:sz="4" w:space="0" w:color="000000"/>
              <w:bottom w:val="single" w:sz="4" w:space="0" w:color="000000"/>
              <w:right w:val="single" w:sz="4" w:space="0" w:color="000000"/>
            </w:tcBorders>
          </w:tcPr>
          <w:p>
            <w:pPr>
              <w:pStyle w:val="ConsPlusNormal"/>
              <w:ind w:firstLine="199"/>
              <w:jc w:val="center"/>
              <w:rPr>
                <w:rFonts w:ascii="Times New Roman" w:hAnsi="Times New Roman" w:cs="Times New Roman"/>
                <w:bCs/>
                <w:color w:themeColor="dark1" w:val="000000"/>
                <w:sz w:val="24"/>
                <w:szCs w:val="24"/>
              </w:rPr>
            </w:pPr>
            <w:r>
              <w:rPr>
                <w:rFonts w:cs="Times New Roman" w:ascii="Times New Roman" w:hAnsi="Times New Roman"/>
                <w:bCs/>
                <w:color w:themeColor="dark1" w:val="000000"/>
                <w:sz w:val="24"/>
                <w:szCs w:val="24"/>
              </w:rPr>
              <w:t>17548</w:t>
            </w:r>
          </w:p>
        </w:tc>
        <w:tc>
          <w:tcPr>
            <w:tcW w:w="1650" w:type="dxa"/>
            <w:tcBorders>
              <w:top w:val="single" w:sz="4" w:space="0" w:color="000000"/>
              <w:left w:val="single" w:sz="4" w:space="0" w:color="000000"/>
              <w:bottom w:val="single" w:sz="4" w:space="0" w:color="000000"/>
              <w:right w:val="single" w:sz="4" w:space="0" w:color="000000"/>
            </w:tcBorders>
          </w:tcPr>
          <w:p>
            <w:pPr>
              <w:pStyle w:val="ConsPlusNormal"/>
              <w:ind w:firstLine="387"/>
              <w:rPr>
                <w:rFonts w:ascii="Times New Roman" w:hAnsi="Times New Roman" w:cs="Times New Roman"/>
                <w:bCs/>
                <w:color w:themeColor="dark1" w:val="000000"/>
                <w:sz w:val="24"/>
                <w:szCs w:val="24"/>
              </w:rPr>
            </w:pPr>
            <w:r>
              <w:rPr>
                <w:rFonts w:cs="Times New Roman" w:ascii="Times New Roman" w:hAnsi="Times New Roman"/>
                <w:bCs/>
                <w:color w:themeColor="dark1" w:val="000000"/>
                <w:sz w:val="24"/>
                <w:szCs w:val="24"/>
              </w:rPr>
              <w:t>16378</w:t>
            </w:r>
          </w:p>
        </w:tc>
        <w:tc>
          <w:tcPr>
            <w:tcW w:w="1529" w:type="dxa"/>
            <w:tcBorders>
              <w:top w:val="single" w:sz="4" w:space="0" w:color="000000"/>
              <w:left w:val="single" w:sz="4" w:space="0" w:color="000000"/>
              <w:bottom w:val="single" w:sz="4" w:space="0" w:color="000000"/>
              <w:right w:val="single" w:sz="4" w:space="0" w:color="000000"/>
            </w:tcBorders>
          </w:tcPr>
          <w:p>
            <w:pPr>
              <w:pStyle w:val="ConsPlusNormal"/>
              <w:ind w:firstLine="13"/>
              <w:jc w:val="center"/>
              <w:rPr>
                <w:rFonts w:ascii="Times New Roman" w:hAnsi="Times New Roman" w:cs="Times New Roman"/>
                <w:bCs/>
                <w:color w:themeColor="dark1" w:val="000000"/>
                <w:sz w:val="24"/>
                <w:szCs w:val="24"/>
              </w:rPr>
            </w:pPr>
            <w:r>
              <w:rPr>
                <w:rFonts w:cs="Times New Roman" w:ascii="Times New Roman" w:hAnsi="Times New Roman"/>
                <w:bCs/>
                <w:color w:themeColor="dark1" w:val="000000"/>
                <w:sz w:val="24"/>
                <w:szCs w:val="24"/>
              </w:rPr>
              <w:t>15041</w:t>
            </w:r>
          </w:p>
        </w:tc>
      </w:tr>
    </w:tbl>
    <w:p>
      <w:pPr>
        <w:pStyle w:val="Normal"/>
        <w:shd w:val="clear" w:color="auto" w:fill="FFFFFF"/>
        <w:ind w:firstLine="709"/>
        <w:jc w:val="both"/>
        <w:rPr>
          <w:sz w:val="28"/>
          <w:szCs w:val="28"/>
        </w:rPr>
      </w:pPr>
      <w:r>
        <w:rPr>
          <w:sz w:val="28"/>
          <w:szCs w:val="28"/>
        </w:rPr>
      </w:r>
    </w:p>
    <w:p>
      <w:pPr>
        <w:pStyle w:val="Normal"/>
        <w:shd w:val="clear" w:color="auto" w:fill="FFFFFF"/>
        <w:ind w:firstLine="709"/>
        <w:jc w:val="both"/>
        <w:rPr>
          <w:sz w:val="28"/>
          <w:szCs w:val="28"/>
        </w:rPr>
      </w:pPr>
      <w:r>
        <w:rPr>
          <w:sz w:val="28"/>
          <w:szCs w:val="28"/>
        </w:rPr>
        <w:t>Объемные показатели деятельности и порядок отнесения организации к группе по оплате труда руководителя организации определяются в соответствии с Положением об оплате труда работников учреждений образования муниципального района Дюртюлинский район Республики Башкортостан, утвержденным постановлением Администрации муниципального района Дюртюлинский район Республики Башкортостан  от 10.12.2025 № 730, .</w:t>
      </w:r>
    </w:p>
    <w:p>
      <w:pPr>
        <w:pStyle w:val="ConsPlusNonformat"/>
        <w:widowControl/>
        <w:ind w:firstLine="709"/>
        <w:jc w:val="both"/>
        <w:rPr>
          <w:rFonts w:ascii="Times New Roman" w:hAnsi="Times New Roman" w:cs="Times New Roman"/>
          <w:sz w:val="28"/>
          <w:szCs w:val="28"/>
        </w:rPr>
      </w:pPr>
      <w:r>
        <w:rPr>
          <w:rFonts w:cs="Times New Roman" w:ascii="Times New Roman" w:hAnsi="Times New Roman"/>
          <w:sz w:val="28"/>
          <w:szCs w:val="28"/>
        </w:rPr>
        <w:t>3.3 Размер должностного оклада заместителя руководителя организации устанавливаются на 10-30% ниже оклада руководителя. Конкретный размер оклада определяется руководителем организации с учетом мнения выборного профсоюзного органа.</w:t>
      </w:r>
    </w:p>
    <w:p>
      <w:pPr>
        <w:pStyle w:val="ConsPlusNonformat"/>
        <w:widowControl/>
        <w:ind w:firstLine="709"/>
        <w:jc w:val="both"/>
        <w:rPr>
          <w:rFonts w:ascii="Times New Roman" w:hAnsi="Times New Roman" w:cs="Times New Roman"/>
          <w:sz w:val="28"/>
          <w:szCs w:val="28"/>
        </w:rPr>
      </w:pPr>
      <w:r>
        <w:rPr>
          <w:rFonts w:cs="Times New Roman" w:ascii="Times New Roman" w:hAnsi="Times New Roman"/>
          <w:sz w:val="28"/>
          <w:szCs w:val="28"/>
        </w:rPr>
        <w:t xml:space="preserve">3.4. Предельный уровень соотношения среднемесячной заработной платы руководителя, </w:t>
      </w:r>
      <w:r>
        <w:rPr>
          <w:rFonts w:cs="Times New Roman" w:ascii="Times New Roman" w:hAnsi="Times New Roman"/>
          <w:color w:themeColor="dark1" w:val="000000"/>
          <w:sz w:val="28"/>
          <w:szCs w:val="28"/>
        </w:rPr>
        <w:t xml:space="preserve">заместителя руководителя </w:t>
      </w:r>
      <w:r>
        <w:rPr>
          <w:rFonts w:cs="Times New Roman" w:ascii="Times New Roman" w:hAnsi="Times New Roman"/>
          <w:sz w:val="28"/>
          <w:szCs w:val="28"/>
        </w:rPr>
        <w:t xml:space="preserve">организации и средней заработной платы работников организации (без учета заработной платы руководителя, </w:t>
      </w:r>
      <w:r>
        <w:rPr>
          <w:rFonts w:cs="Times New Roman" w:ascii="Times New Roman" w:hAnsi="Times New Roman"/>
          <w:color w:themeColor="dark1" w:val="000000"/>
          <w:sz w:val="28"/>
          <w:szCs w:val="28"/>
        </w:rPr>
        <w:t>заместителя руководителя</w:t>
      </w:r>
      <w:r>
        <w:rPr>
          <w:rFonts w:cs="Times New Roman" w:ascii="Times New Roman" w:hAnsi="Times New Roman"/>
          <w:sz w:val="28"/>
          <w:szCs w:val="28"/>
        </w:rPr>
        <w:t>) устанавливается учредителем в кратности от 1 до 8.</w:t>
      </w:r>
    </w:p>
    <w:p>
      <w:pPr>
        <w:pStyle w:val="BodyTextIndent2"/>
        <w:tabs>
          <w:tab w:val="clear" w:pos="708"/>
          <w:tab w:val="left" w:pos="1134" w:leader="none"/>
        </w:tabs>
        <w:spacing w:before="0" w:after="0"/>
        <w:ind w:firstLine="709"/>
        <w:jc w:val="both"/>
        <w:rPr>
          <w:sz w:val="28"/>
          <w:szCs w:val="28"/>
        </w:rPr>
      </w:pPr>
      <w:r>
        <w:rPr>
          <w:sz w:val="28"/>
          <w:szCs w:val="28"/>
        </w:rPr>
        <w:t>3.5.</w:t>
        <w:tab/>
        <w:t xml:space="preserve"> С учетом условий труда заместителю руководителя устанавливаются выплаты компенсационного характера, предусмотренные разделом 5 настоящего Положения.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3.6. Выплаты стимулирующего характера руководителю устанавливаются учредителем с учетом обеспечения финансовыми средствами по результатам деятельности организации и в соответствии с критериями оценки и целевыми показателями эффективности работы с учетом достижения показателей осуществления государственного (муниципального) задания на оказание государственных (муниципальных) услуг (выполнение работ), а также иных показателей эффективности деятельности организации и его руководителя по согласованию с соответствующим территориальным выборным профсоюзным органом.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Размеры, порядок и критерии выплат стимулирующего характера руководителю устанавливаются учредителем в трудовом договоре с руководителем организации.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3.7. На основании решения руководителя с учетом мнения выборного органа первичной профсоюзной организации осуществляется премирование*:</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заместителя руководителя и иных работников организации, подчиненных руководителю непосредственно;</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работников, подчиненных заместителю руководителя организации, - по представлению заместителя руководителя.</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shd w:fill="auto" w:val="clear"/>
        </w:rPr>
        <w:t>Система премирования заместителя руководителя определяется в соответст</w:t>
      </w:r>
      <w:r>
        <w:rPr>
          <w:rFonts w:cs="Times New Roman" w:ascii="Times New Roman" w:hAnsi="Times New Roman"/>
          <w:i w:val="false"/>
          <w:iCs w:val="false"/>
          <w:sz w:val="28"/>
          <w:szCs w:val="28"/>
          <w:shd w:fill="auto" w:val="clear"/>
        </w:rPr>
        <w:t>вии с коллективным договором, соглашениями и  локальными нормативными актами работодателя.</w:t>
      </w:r>
    </w:p>
    <w:p>
      <w:pPr>
        <w:pStyle w:val="Normal"/>
        <w:shd w:val="clear" w:color="auto" w:fill="FFFFFF"/>
        <w:ind w:firstLine="709"/>
        <w:jc w:val="both"/>
        <w:rPr>
          <w:sz w:val="28"/>
          <w:szCs w:val="28"/>
        </w:rPr>
      </w:pPr>
      <w:r>
        <w:rPr>
          <w:sz w:val="28"/>
          <w:szCs w:val="28"/>
          <w:shd w:fill="auto" w:val="clear"/>
        </w:rPr>
        <w:t>3.8.</w:t>
        <w:tab/>
        <w:t>Персональный повышающи</w:t>
      </w:r>
      <w:r>
        <w:rPr>
          <w:sz w:val="28"/>
          <w:szCs w:val="28"/>
        </w:rPr>
        <w:t>й коэффициент руководителю организации устанавливается в порядке, предусмотренном учредителем, с учетом мнения выборного органа территориальной профсоюзной организации.</w:t>
      </w:r>
    </w:p>
    <w:p>
      <w:pPr>
        <w:pStyle w:val="BodyText2"/>
        <w:spacing w:lineRule="auto" w:line="240" w:before="0" w:after="0"/>
        <w:ind w:firstLine="709"/>
        <w:jc w:val="both"/>
        <w:rPr>
          <w:strike/>
          <w:color w:val="EE0000"/>
          <w:sz w:val="28"/>
          <w:szCs w:val="28"/>
        </w:rPr>
      </w:pPr>
      <w:r>
        <w:rPr>
          <w:sz w:val="28"/>
          <w:szCs w:val="28"/>
        </w:rPr>
        <w:t xml:space="preserve">Размер персонального повышающего коэффициента </w:t>
      </w:r>
      <w:r>
        <w:rPr>
          <w:color w:themeColor="dark1" w:val="000000"/>
          <w:sz w:val="28"/>
          <w:szCs w:val="28"/>
        </w:rPr>
        <w:t>– до 3,0.</w:t>
      </w:r>
      <w:r>
        <w:rPr>
          <w:strike/>
          <w:color w:val="EE0000"/>
          <w:sz w:val="28"/>
          <w:szCs w:val="28"/>
        </w:rPr>
        <w:t xml:space="preserve"> </w:t>
      </w:r>
    </w:p>
    <w:p>
      <w:pPr>
        <w:pStyle w:val="ConsPlusNormal"/>
        <w:ind w:firstLine="709"/>
        <w:jc w:val="both"/>
        <w:rPr>
          <w:rFonts w:ascii="Times New Roman" w:hAnsi="Times New Roman" w:cs="Times New Roman"/>
          <w:color w:themeColor="dark1" w:val="000000"/>
          <w:sz w:val="28"/>
          <w:szCs w:val="28"/>
        </w:rPr>
      </w:pPr>
      <w:r>
        <w:rPr>
          <w:rFonts w:cs="Times New Roman" w:ascii="Times New Roman" w:hAnsi="Times New Roman"/>
          <w:color w:themeColor="dark1" w:val="000000"/>
          <w:sz w:val="28"/>
          <w:szCs w:val="28"/>
        </w:rPr>
        <w:t>3.9. Персональный повышающий коэффициент исполняющему обязанности руководителя организации устанавливается по его основной должности, занимаемой в организации.</w:t>
      </w:r>
    </w:p>
    <w:p>
      <w:pPr>
        <w:pStyle w:val="ConsPlusNormal"/>
        <w:ind w:firstLine="709"/>
        <w:jc w:val="both"/>
        <w:rPr>
          <w:rFonts w:ascii="Times New Roman" w:hAnsi="Times New Roman" w:cs="Times New Roman"/>
          <w:color w:themeColor="dark1" w:val="000000"/>
          <w:sz w:val="28"/>
          <w:szCs w:val="28"/>
        </w:rPr>
      </w:pPr>
      <w:r>
        <w:rPr>
          <w:rFonts w:cs="Times New Roman" w:ascii="Times New Roman" w:hAnsi="Times New Roman"/>
          <w:color w:themeColor="dark1" w:val="000000"/>
          <w:sz w:val="28"/>
          <w:szCs w:val="28"/>
        </w:rPr>
        <w:t xml:space="preserve">3.10. Применение персонального повышающего коэффициента </w:t>
        <w:br/>
        <w:t xml:space="preserve">к должностному окладу не образует нового оклада и не учитывается </w:t>
        <w:br/>
        <w:t>при начислении выплат компенсационного и стимулирующего характера.</w:t>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hanging="0"/>
        <w:jc w:val="center"/>
        <w:rPr>
          <w:rFonts w:ascii="Times New Roman" w:hAnsi="Times New Roman" w:cs="Times New Roman"/>
          <w:b/>
          <w:sz w:val="28"/>
          <w:szCs w:val="28"/>
        </w:rPr>
      </w:pPr>
      <w:r>
        <w:rPr>
          <w:rFonts w:cs="Times New Roman" w:ascii="Times New Roman" w:hAnsi="Times New Roman"/>
          <w:b/>
          <w:sz w:val="28"/>
          <w:szCs w:val="28"/>
        </w:rPr>
        <w:t>4. Условия оплаты труда работников образования</w:t>
      </w:r>
    </w:p>
    <w:p>
      <w:pPr>
        <w:pStyle w:val="ConsPlusNormal"/>
        <w:widowControl/>
        <w:ind w:hanging="0"/>
        <w:jc w:val="center"/>
        <w:rPr>
          <w:rFonts w:ascii="Times New Roman" w:hAnsi="Times New Roman" w:cs="Times New Roman"/>
          <w:sz w:val="28"/>
          <w:szCs w:val="28"/>
        </w:rPr>
      </w:pPr>
      <w:r>
        <w:rPr>
          <w:rFonts w:cs="Times New Roman" w:ascii="Times New Roman" w:hAnsi="Times New Roman"/>
          <w:sz w:val="28"/>
          <w:szCs w:val="28"/>
        </w:rPr>
      </w:r>
    </w:p>
    <w:p>
      <w:pPr>
        <w:pStyle w:val="ConsPlusNonformat"/>
        <w:widowControl/>
        <w:ind w:firstLine="709"/>
        <w:jc w:val="both"/>
        <w:rPr>
          <w:rFonts w:ascii="Times New Roman" w:hAnsi="Times New Roman" w:cs="Times New Roman"/>
          <w:sz w:val="28"/>
          <w:szCs w:val="28"/>
        </w:rPr>
      </w:pPr>
      <w:r>
        <w:rPr>
          <w:rFonts w:cs="Times New Roman" w:ascii="Times New Roman" w:hAnsi="Times New Roman"/>
          <w:sz w:val="28"/>
          <w:szCs w:val="28"/>
        </w:rPr>
        <w:t>4.1.</w:t>
        <w:tab/>
        <w:t>Ставки заработной платы, окладов работников, отнесенных к ПГК должностей работников образования устанавливаются в следующих размерах:</w:t>
      </w:r>
    </w:p>
    <w:p>
      <w:pPr>
        <w:pStyle w:val="ConsPlusNonformat"/>
        <w:widowControl/>
        <w:ind w:firstLine="708"/>
        <w:jc w:val="both"/>
        <w:rPr>
          <w:rFonts w:ascii="Times New Roman" w:hAnsi="Times New Roman" w:cs="Times New Roman"/>
          <w:sz w:val="28"/>
          <w:szCs w:val="28"/>
        </w:rPr>
      </w:pPr>
      <w:r>
        <w:rPr>
          <w:rFonts w:cs="Times New Roman" w:ascii="Times New Roman" w:hAnsi="Times New Roman"/>
          <w:sz w:val="28"/>
          <w:szCs w:val="28"/>
        </w:rPr>
      </w:r>
    </w:p>
    <w:tbl>
      <w:tblPr>
        <w:tblW w:w="9645" w:type="dxa"/>
        <w:jc w:val="left"/>
        <w:tblInd w:w="113" w:type="dxa"/>
        <w:tblLayout w:type="fixed"/>
        <w:tblCellMar>
          <w:top w:w="0" w:type="dxa"/>
          <w:left w:w="108" w:type="dxa"/>
          <w:bottom w:w="0" w:type="dxa"/>
          <w:right w:w="108" w:type="dxa"/>
        </w:tblCellMar>
        <w:tblLook w:val="01e0"/>
      </w:tblPr>
      <w:tblGrid>
        <w:gridCol w:w="5495"/>
        <w:gridCol w:w="2533"/>
        <w:gridCol w:w="1617"/>
      </w:tblGrid>
      <w:tr>
        <w:trPr/>
        <w:tc>
          <w:tcPr>
            <w:tcW w:w="5495"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Наименование должности, отнесенной к профессиональной квалификационной группе *</w:t>
            </w:r>
          </w:p>
        </w:tc>
        <w:tc>
          <w:tcPr>
            <w:tcW w:w="2533"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Коэффициент для определения размеров ставок заработной платы, окладов</w:t>
            </w:r>
          </w:p>
        </w:tc>
        <w:tc>
          <w:tcPr>
            <w:tcW w:w="1617"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Ставки заработной платы, оклады, руб.</w:t>
            </w:r>
          </w:p>
        </w:tc>
      </w:tr>
      <w:tr>
        <w:trPr/>
        <w:tc>
          <w:tcPr>
            <w:tcW w:w="5495"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Должности, отнесенные к ПКГ «Работники учебно-вспомогательного персонала первого уровня»:</w:t>
            </w:r>
          </w:p>
        </w:tc>
        <w:tc>
          <w:tcPr>
            <w:tcW w:w="2533"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r>
          </w:p>
        </w:tc>
        <w:tc>
          <w:tcPr>
            <w:tcW w:w="1617"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r>
          </w:p>
        </w:tc>
      </w:tr>
      <w:tr>
        <w:trPr/>
        <w:tc>
          <w:tcPr>
            <w:tcW w:w="5495"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1 квалификационный уровень: помощник воспитателя</w:t>
            </w:r>
          </w:p>
        </w:tc>
        <w:tc>
          <w:tcPr>
            <w:tcW w:w="2533"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1,495</w:t>
            </w:r>
          </w:p>
        </w:tc>
        <w:tc>
          <w:tcPr>
            <w:tcW w:w="1617"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bCs/>
                <w:sz w:val="24"/>
                <w:szCs w:val="24"/>
              </w:rPr>
            </w:pPr>
            <w:r>
              <w:rPr>
                <w:rFonts w:ascii="Times New Roman" w:hAnsi="Times New Roman"/>
                <w:bCs/>
                <w:sz w:val="24"/>
                <w:szCs w:val="24"/>
              </w:rPr>
              <w:t>7304</w:t>
            </w:r>
          </w:p>
        </w:tc>
      </w:tr>
      <w:tr>
        <w:trPr/>
        <w:tc>
          <w:tcPr>
            <w:tcW w:w="5495"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Должности, отнесенные к ПКГ «Работники учебно-вспомогательного персонала второго уровня»:</w:t>
            </w:r>
          </w:p>
        </w:tc>
        <w:tc>
          <w:tcPr>
            <w:tcW w:w="2533"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8"/>
                <w:szCs w:val="28"/>
              </w:rPr>
            </w:pPr>
            <w:r>
              <w:rPr>
                <w:rFonts w:cs="Times New Roman" w:ascii="Times New Roman" w:hAnsi="Times New Roman"/>
                <w:sz w:val="28"/>
                <w:szCs w:val="28"/>
              </w:rPr>
            </w:r>
          </w:p>
        </w:tc>
        <w:tc>
          <w:tcPr>
            <w:tcW w:w="1617"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bCs/>
                <w:sz w:val="28"/>
                <w:szCs w:val="28"/>
              </w:rPr>
            </w:pPr>
            <w:r>
              <w:rPr>
                <w:rFonts w:cs="Times New Roman" w:ascii="Times New Roman" w:hAnsi="Times New Roman"/>
                <w:bCs/>
                <w:sz w:val="28"/>
                <w:szCs w:val="28"/>
              </w:rPr>
            </w:r>
          </w:p>
        </w:tc>
      </w:tr>
      <w:tr>
        <w:trPr/>
        <w:tc>
          <w:tcPr>
            <w:tcW w:w="5495"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1 квалификационный уровень: младший воспитатель</w:t>
            </w:r>
          </w:p>
        </w:tc>
        <w:tc>
          <w:tcPr>
            <w:tcW w:w="2533"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1,82</w:t>
            </w:r>
          </w:p>
        </w:tc>
        <w:tc>
          <w:tcPr>
            <w:tcW w:w="1617"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bCs/>
                <w:sz w:val="24"/>
                <w:szCs w:val="24"/>
              </w:rPr>
            </w:pPr>
            <w:r>
              <w:rPr>
                <w:rFonts w:ascii="Times New Roman" w:hAnsi="Times New Roman"/>
                <w:bCs/>
                <w:sz w:val="24"/>
                <w:szCs w:val="24"/>
              </w:rPr>
              <w:t>8891</w:t>
            </w:r>
          </w:p>
        </w:tc>
      </w:tr>
      <w:tr>
        <w:trPr/>
        <w:tc>
          <w:tcPr>
            <w:tcW w:w="5495"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Должности, отнесенные к ПКГ «Должности педагогических работников»:</w:t>
            </w:r>
          </w:p>
        </w:tc>
        <w:tc>
          <w:tcPr>
            <w:tcW w:w="2533"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r>
          </w:p>
        </w:tc>
        <w:tc>
          <w:tcPr>
            <w:tcW w:w="1617"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bCs/>
                <w:sz w:val="24"/>
                <w:szCs w:val="24"/>
              </w:rPr>
            </w:pPr>
            <w:r>
              <w:rPr>
                <w:rFonts w:cs="Times New Roman" w:ascii="Times New Roman" w:hAnsi="Times New Roman"/>
                <w:bCs/>
                <w:sz w:val="24"/>
                <w:szCs w:val="24"/>
              </w:rPr>
            </w:r>
          </w:p>
        </w:tc>
      </w:tr>
      <w:tr>
        <w:trPr/>
        <w:tc>
          <w:tcPr>
            <w:tcW w:w="5495"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1 квалификационный уровень: инструктор по физической культуре, музыкальный руководитель</w:t>
            </w:r>
          </w:p>
        </w:tc>
        <w:tc>
          <w:tcPr>
            <w:tcW w:w="2533"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2,5209</w:t>
            </w:r>
          </w:p>
        </w:tc>
        <w:tc>
          <w:tcPr>
            <w:tcW w:w="1617"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bCs/>
                <w:sz w:val="24"/>
                <w:szCs w:val="24"/>
              </w:rPr>
            </w:pPr>
            <w:r>
              <w:rPr>
                <w:rFonts w:eastAsia="Calibri" w:ascii="Times New Roman" w:hAnsi="Times New Roman"/>
                <w:bCs/>
                <w:sz w:val="24"/>
                <w:szCs w:val="24"/>
                <w:lang w:eastAsia="en-US"/>
              </w:rPr>
              <w:t>12315</w:t>
            </w:r>
          </w:p>
        </w:tc>
      </w:tr>
      <w:tr>
        <w:trPr/>
        <w:tc>
          <w:tcPr>
            <w:tcW w:w="5495"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3 квалификационный уровень: воспитатель, педагог-психолог</w:t>
            </w:r>
          </w:p>
        </w:tc>
        <w:tc>
          <w:tcPr>
            <w:tcW w:w="2533"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2,7157</w:t>
            </w:r>
          </w:p>
        </w:tc>
        <w:tc>
          <w:tcPr>
            <w:tcW w:w="1617"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eastAsia="Calibri" w:ascii="Times New Roman" w:hAnsi="Times New Roman"/>
                <w:sz w:val="24"/>
                <w:szCs w:val="24"/>
                <w:lang w:eastAsia="en-US"/>
              </w:rPr>
              <w:t>13267</w:t>
            </w:r>
          </w:p>
        </w:tc>
      </w:tr>
      <w:tr>
        <w:trPr/>
        <w:tc>
          <w:tcPr>
            <w:tcW w:w="5495"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4 квалификационный уровень: старший воспитатель, учитель-логопед, учитель-дефектолог</w:t>
            </w:r>
          </w:p>
        </w:tc>
        <w:tc>
          <w:tcPr>
            <w:tcW w:w="2533"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2,7809</w:t>
            </w:r>
          </w:p>
        </w:tc>
        <w:tc>
          <w:tcPr>
            <w:tcW w:w="1617"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ascii="Times New Roman" w:hAnsi="Times New Roman"/>
                <w:sz w:val="24"/>
                <w:szCs w:val="24"/>
              </w:rPr>
              <w:t>13585</w:t>
            </w:r>
          </w:p>
        </w:tc>
      </w:tr>
    </w:tbl>
    <w:p>
      <w:pPr>
        <w:pStyle w:val="ConsPlusNonformat"/>
        <w:widowControl/>
        <w:jc w:val="both"/>
        <w:rPr>
          <w:rFonts w:ascii="Times New Roman" w:hAnsi="Times New Roman" w:cs="Times New Roman"/>
          <w:i/>
          <w:i/>
        </w:rPr>
      </w:pPr>
      <w:r>
        <w:rPr>
          <w:rFonts w:cs="Times New Roman" w:ascii="Times New Roman" w:hAnsi="Times New Roman"/>
          <w:i/>
        </w:rPr>
        <w:t>* указываются только те должности, которые имеются в организации</w:t>
      </w:r>
    </w:p>
    <w:p>
      <w:pPr>
        <w:pStyle w:val="ConsPlusNonformat"/>
        <w:widowControl/>
        <w:jc w:val="both"/>
        <w:rPr>
          <w:rFonts w:ascii="Times New Roman" w:hAnsi="Times New Roman" w:cs="Times New Roman"/>
          <w:i/>
          <w:i/>
        </w:rPr>
      </w:pPr>
      <w:r>
        <w:rPr>
          <w:rFonts w:cs="Times New Roman" w:ascii="Times New Roman" w:hAnsi="Times New Roman"/>
          <w:i/>
        </w:rPr>
      </w:r>
    </w:p>
    <w:p>
      <w:pPr>
        <w:pStyle w:val="ConsPlusNonformat"/>
        <w:widowControl/>
        <w:ind w:firstLine="709"/>
        <w:jc w:val="both"/>
        <w:rPr>
          <w:rFonts w:ascii="Times New Roman" w:hAnsi="Times New Roman" w:cs="Times New Roman"/>
          <w:sz w:val="28"/>
          <w:szCs w:val="28"/>
        </w:rPr>
      </w:pPr>
      <w:r>
        <w:rPr>
          <w:rFonts w:cs="Times New Roman" w:ascii="Times New Roman" w:hAnsi="Times New Roman"/>
          <w:sz w:val="28"/>
          <w:szCs w:val="28"/>
        </w:rPr>
        <w:t>4.2. Оклады работников, занимающих общеотраслевые должности служащих организации, устанавливаются в следующих размерах:</w:t>
      </w:r>
    </w:p>
    <w:p>
      <w:pPr>
        <w:pStyle w:val="ConsPlusNonformat"/>
        <w:widowControl/>
        <w:ind w:firstLine="708"/>
        <w:jc w:val="both"/>
        <w:rPr>
          <w:rFonts w:ascii="Times New Roman" w:hAnsi="Times New Roman" w:cs="Times New Roman"/>
          <w:sz w:val="28"/>
          <w:szCs w:val="28"/>
        </w:rPr>
      </w:pPr>
      <w:r>
        <w:rPr>
          <w:rFonts w:cs="Times New Roman" w:ascii="Times New Roman" w:hAnsi="Times New Roman"/>
          <w:sz w:val="28"/>
          <w:szCs w:val="28"/>
        </w:rPr>
      </w:r>
    </w:p>
    <w:tbl>
      <w:tblPr>
        <w:tblW w:w="9645" w:type="dxa"/>
        <w:jc w:val="left"/>
        <w:tblInd w:w="113" w:type="dxa"/>
        <w:tblLayout w:type="fixed"/>
        <w:tblCellMar>
          <w:top w:w="0" w:type="dxa"/>
          <w:left w:w="108" w:type="dxa"/>
          <w:bottom w:w="0" w:type="dxa"/>
          <w:right w:w="108" w:type="dxa"/>
        </w:tblCellMar>
        <w:tblLook w:val="01e0"/>
      </w:tblPr>
      <w:tblGrid>
        <w:gridCol w:w="4632"/>
        <w:gridCol w:w="1708"/>
        <w:gridCol w:w="1145"/>
        <w:gridCol w:w="2160"/>
      </w:tblGrid>
      <w:tr>
        <w:trPr/>
        <w:tc>
          <w:tcPr>
            <w:tcW w:w="4632"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Наименование должности, отнесенной к профессиональной квалификационной группе *</w:t>
            </w:r>
          </w:p>
        </w:tc>
        <w:tc>
          <w:tcPr>
            <w:tcW w:w="1708"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Коэффициент для определения размера оклада</w:t>
            </w:r>
          </w:p>
        </w:tc>
        <w:tc>
          <w:tcPr>
            <w:tcW w:w="1145"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r>
          </w:p>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Оклад, руб.</w:t>
            </w:r>
          </w:p>
        </w:tc>
        <w:tc>
          <w:tcPr>
            <w:tcW w:w="2160"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Повышающий коэффициент к окладу по занимаемой должности</w:t>
            </w:r>
          </w:p>
        </w:tc>
      </w:tr>
      <w:tr>
        <w:trPr/>
        <w:tc>
          <w:tcPr>
            <w:tcW w:w="4632"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Должности, отнесенные к ПКГ «Общеотраслевые и служащих первого уровня»:</w:t>
            </w:r>
          </w:p>
        </w:tc>
        <w:tc>
          <w:tcPr>
            <w:tcW w:w="1708"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r>
          </w:p>
        </w:tc>
        <w:tc>
          <w:tcPr>
            <w:tcW w:w="1145"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r>
          </w:p>
        </w:tc>
        <w:tc>
          <w:tcPr>
            <w:tcW w:w="2160"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r>
          </w:p>
        </w:tc>
      </w:tr>
      <w:tr>
        <w:trPr/>
        <w:tc>
          <w:tcPr>
            <w:tcW w:w="4632"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1 квалификационный уровень: экспедитор по перевозке грузов, делопроизводитель</w:t>
            </w:r>
          </w:p>
        </w:tc>
        <w:tc>
          <w:tcPr>
            <w:tcW w:w="1708"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1,495</w:t>
            </w:r>
          </w:p>
        </w:tc>
        <w:tc>
          <w:tcPr>
            <w:tcW w:w="1145"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eastAsia="Calibri" w:ascii="Times New Roman" w:hAnsi="Times New Roman"/>
                <w:sz w:val="24"/>
                <w:szCs w:val="24"/>
                <w:lang w:eastAsia="en-US"/>
              </w:rPr>
              <w:t>7304</w:t>
            </w:r>
          </w:p>
        </w:tc>
        <w:tc>
          <w:tcPr>
            <w:tcW w:w="2160"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color w:val="FF0000"/>
                <w:sz w:val="24"/>
                <w:szCs w:val="24"/>
              </w:rPr>
            </w:pPr>
            <w:r>
              <w:rPr>
                <w:rFonts w:cs="Times New Roman" w:ascii="Times New Roman" w:hAnsi="Times New Roman"/>
                <w:color w:val="FF0000"/>
                <w:sz w:val="24"/>
                <w:szCs w:val="24"/>
              </w:rPr>
            </w:r>
          </w:p>
        </w:tc>
      </w:tr>
      <w:tr>
        <w:trPr/>
        <w:tc>
          <w:tcPr>
            <w:tcW w:w="4632"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8"/>
                <w:szCs w:val="28"/>
              </w:rPr>
            </w:pPr>
            <w:r>
              <w:rPr>
                <w:rFonts w:cs="Times New Roman" w:ascii="Times New Roman" w:hAnsi="Times New Roman"/>
                <w:sz w:val="24"/>
                <w:szCs w:val="24"/>
              </w:rPr>
              <w:t>Должности, отнесенные к ПКГ «Общеотраслевые должности служащих второго уровня»:</w:t>
            </w:r>
          </w:p>
        </w:tc>
        <w:tc>
          <w:tcPr>
            <w:tcW w:w="1708"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1,82</w:t>
            </w:r>
          </w:p>
        </w:tc>
        <w:tc>
          <w:tcPr>
            <w:tcW w:w="1145"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eastAsia="Calibri" w:ascii="Times New Roman" w:hAnsi="Times New Roman"/>
                <w:sz w:val="24"/>
                <w:szCs w:val="24"/>
                <w:lang w:eastAsia="en-US"/>
              </w:rPr>
              <w:t>8891</w:t>
            </w:r>
          </w:p>
        </w:tc>
        <w:tc>
          <w:tcPr>
            <w:tcW w:w="2160"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color w:val="FF0000"/>
                <w:sz w:val="28"/>
                <w:szCs w:val="28"/>
              </w:rPr>
            </w:pPr>
            <w:r>
              <w:rPr>
                <w:rFonts w:cs="Times New Roman" w:ascii="Times New Roman" w:hAnsi="Times New Roman"/>
                <w:color w:val="FF0000"/>
                <w:sz w:val="28"/>
                <w:szCs w:val="28"/>
              </w:rPr>
            </w:r>
          </w:p>
        </w:tc>
      </w:tr>
      <w:tr>
        <w:trPr/>
        <w:tc>
          <w:tcPr>
            <w:tcW w:w="4632"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1 квалификационный уровень: техник</w:t>
            </w:r>
          </w:p>
        </w:tc>
        <w:tc>
          <w:tcPr>
            <w:tcW w:w="1708"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1,82</w:t>
            </w:r>
          </w:p>
        </w:tc>
        <w:tc>
          <w:tcPr>
            <w:tcW w:w="1145"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lang w:eastAsia="en-US"/>
              </w:rPr>
              <w:t>8891</w:t>
            </w:r>
          </w:p>
        </w:tc>
        <w:tc>
          <w:tcPr>
            <w:tcW w:w="2160"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color w:val="FF0000"/>
                <w:sz w:val="24"/>
                <w:szCs w:val="24"/>
              </w:rPr>
            </w:pPr>
            <w:r>
              <w:rPr>
                <w:rFonts w:cs="Times New Roman" w:ascii="Times New Roman" w:hAnsi="Times New Roman"/>
                <w:color w:val="FF0000"/>
                <w:sz w:val="24"/>
                <w:szCs w:val="24"/>
              </w:rPr>
            </w:r>
          </w:p>
        </w:tc>
      </w:tr>
      <w:tr>
        <w:trPr/>
        <w:tc>
          <w:tcPr>
            <w:tcW w:w="4632"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2 квалификационный уровень: заведующий хозяйством, заведующий складом</w:t>
            </w:r>
          </w:p>
        </w:tc>
        <w:tc>
          <w:tcPr>
            <w:tcW w:w="1708"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1,82</w:t>
            </w:r>
          </w:p>
        </w:tc>
        <w:tc>
          <w:tcPr>
            <w:tcW w:w="1145"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lang w:eastAsia="en-US"/>
              </w:rPr>
              <w:t>8891</w:t>
            </w:r>
          </w:p>
        </w:tc>
        <w:tc>
          <w:tcPr>
            <w:tcW w:w="2160"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0,05</w:t>
            </w:r>
          </w:p>
        </w:tc>
      </w:tr>
      <w:tr>
        <w:trPr/>
        <w:tc>
          <w:tcPr>
            <w:tcW w:w="4632"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3 квалификационный уровень: заведующий производством (шеф-повар)</w:t>
            </w:r>
          </w:p>
        </w:tc>
        <w:tc>
          <w:tcPr>
            <w:tcW w:w="1708"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1,82</w:t>
            </w:r>
          </w:p>
        </w:tc>
        <w:tc>
          <w:tcPr>
            <w:tcW w:w="1145"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lang w:eastAsia="en-US"/>
              </w:rPr>
              <w:t>8891</w:t>
            </w:r>
          </w:p>
        </w:tc>
        <w:tc>
          <w:tcPr>
            <w:tcW w:w="2160"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0,10</w:t>
            </w:r>
          </w:p>
        </w:tc>
      </w:tr>
      <w:tr>
        <w:trPr/>
        <w:tc>
          <w:tcPr>
            <w:tcW w:w="4632" w:type="dxa"/>
            <w:tcBorders>
              <w:top w:val="single" w:sz="4" w:space="0" w:color="000000"/>
              <w:left w:val="single" w:sz="4" w:space="0" w:color="000000"/>
              <w:bottom w:val="single" w:sz="4" w:space="0" w:color="000000"/>
              <w:right w:val="single" w:sz="4" w:space="0" w:color="000000"/>
            </w:tcBorders>
          </w:tcPr>
          <w:p>
            <w:pPr>
              <w:pStyle w:val="ConsPlusNonformat"/>
              <w:widowControl/>
              <w:rPr>
                <w:rFonts w:ascii="Times New Roman" w:hAnsi="Times New Roman" w:cs="Times New Roman"/>
                <w:sz w:val="24"/>
                <w:szCs w:val="24"/>
              </w:rPr>
            </w:pPr>
            <w:r>
              <w:rPr>
                <w:rFonts w:cs="Times New Roman" w:ascii="Times New Roman" w:hAnsi="Times New Roman"/>
                <w:sz w:val="24"/>
                <w:szCs w:val="24"/>
              </w:rPr>
              <w:t>Должности, отнесенные к ПКГ «Общеотраслевые должности                                                       служащих третьего уровня»:</w:t>
            </w:r>
          </w:p>
        </w:tc>
        <w:tc>
          <w:tcPr>
            <w:tcW w:w="1708"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2,4701</w:t>
            </w:r>
          </w:p>
        </w:tc>
        <w:tc>
          <w:tcPr>
            <w:tcW w:w="1145"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rPr>
              <w:t>12067</w:t>
            </w:r>
          </w:p>
        </w:tc>
        <w:tc>
          <w:tcPr>
            <w:tcW w:w="2160"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color w:val="FF0000"/>
                <w:sz w:val="24"/>
                <w:szCs w:val="24"/>
              </w:rPr>
            </w:pPr>
            <w:r>
              <w:rPr>
                <w:rFonts w:cs="Times New Roman" w:ascii="Times New Roman" w:hAnsi="Times New Roman"/>
                <w:color w:val="FF0000"/>
                <w:sz w:val="24"/>
                <w:szCs w:val="24"/>
              </w:rPr>
            </w:r>
          </w:p>
        </w:tc>
      </w:tr>
      <w:tr>
        <w:trPr/>
        <w:tc>
          <w:tcPr>
            <w:tcW w:w="4632" w:type="dxa"/>
            <w:tcBorders>
              <w:top w:val="single" w:sz="4" w:space="0" w:color="000000"/>
              <w:left w:val="single" w:sz="4" w:space="0" w:color="000000"/>
              <w:bottom w:val="single" w:sz="4" w:space="0" w:color="000000"/>
              <w:right w:val="single" w:sz="4" w:space="0" w:color="000000"/>
            </w:tcBorders>
          </w:tcPr>
          <w:p>
            <w:pPr>
              <w:pStyle w:val="ConsPlusNonformat"/>
              <w:widowControl/>
              <w:jc w:val="both"/>
              <w:rPr>
                <w:rFonts w:ascii="Times New Roman" w:hAnsi="Times New Roman" w:cs="Times New Roman"/>
                <w:sz w:val="24"/>
                <w:szCs w:val="24"/>
              </w:rPr>
            </w:pPr>
            <w:r>
              <w:rPr>
                <w:rFonts w:cs="Times New Roman" w:ascii="Times New Roman" w:hAnsi="Times New Roman"/>
                <w:sz w:val="24"/>
                <w:szCs w:val="24"/>
              </w:rPr>
              <w:t>1 квалификационный уровень: инженер- программист</w:t>
            </w:r>
          </w:p>
        </w:tc>
        <w:tc>
          <w:tcPr>
            <w:tcW w:w="1708"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2,4701</w:t>
            </w:r>
          </w:p>
        </w:tc>
        <w:tc>
          <w:tcPr>
            <w:tcW w:w="1145" w:type="dxa"/>
            <w:tcBorders>
              <w:top w:val="single" w:sz="4" w:space="0" w:color="000000"/>
              <w:left w:val="single" w:sz="4" w:space="0" w:color="000000"/>
              <w:bottom w:val="single" w:sz="4" w:space="0" w:color="000000"/>
              <w:right w:val="single" w:sz="4" w:space="0" w:color="000000"/>
            </w:tcBorders>
          </w:tcPr>
          <w:p>
            <w:pPr>
              <w:pStyle w:val="Normal"/>
              <w:jc w:val="center"/>
              <w:rPr/>
            </w:pPr>
            <w:r>
              <w:rPr>
                <w:rFonts w:eastAsia="Calibri"/>
              </w:rPr>
              <w:t>12067</w:t>
            </w:r>
          </w:p>
        </w:tc>
        <w:tc>
          <w:tcPr>
            <w:tcW w:w="2160"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color w:val="FF0000"/>
                <w:sz w:val="24"/>
                <w:szCs w:val="24"/>
              </w:rPr>
            </w:pPr>
            <w:r>
              <w:rPr>
                <w:rFonts w:cs="Times New Roman" w:ascii="Times New Roman" w:hAnsi="Times New Roman"/>
                <w:color w:val="FF0000"/>
                <w:sz w:val="24"/>
                <w:szCs w:val="24"/>
              </w:rPr>
            </w:r>
          </w:p>
        </w:tc>
      </w:tr>
    </w:tbl>
    <w:p>
      <w:pPr>
        <w:pStyle w:val="ConsPlusNonformat"/>
        <w:widowControl/>
        <w:jc w:val="both"/>
        <w:rPr>
          <w:rFonts w:ascii="Times New Roman" w:hAnsi="Times New Roman" w:cs="Times New Roman"/>
          <w:i/>
          <w:i/>
        </w:rPr>
      </w:pPr>
      <w:r>
        <w:rPr>
          <w:rFonts w:cs="Times New Roman" w:ascii="Times New Roman" w:hAnsi="Times New Roman"/>
          <w:i/>
        </w:rPr>
        <w:t>* указываются только те должности, которые имеются в организации</w:t>
      </w:r>
    </w:p>
    <w:p>
      <w:pPr>
        <w:pStyle w:val="ConsPlusNonformat"/>
        <w:widowControl/>
        <w:jc w:val="both"/>
        <w:rPr>
          <w:rFonts w:ascii="Times New Roman" w:hAnsi="Times New Roman" w:cs="Times New Roman"/>
          <w:i/>
          <w:i/>
        </w:rPr>
      </w:pPr>
      <w:r>
        <w:rPr>
          <w:rFonts w:cs="Times New Roman" w:ascii="Times New Roman" w:hAnsi="Times New Roman"/>
          <w:i/>
        </w:rPr>
      </w:r>
    </w:p>
    <w:p>
      <w:pPr>
        <w:pStyle w:val="Normal"/>
        <w:ind w:firstLine="709"/>
        <w:jc w:val="both"/>
        <w:rPr>
          <w:sz w:val="28"/>
          <w:szCs w:val="28"/>
        </w:rPr>
      </w:pPr>
      <w:r>
        <w:rPr>
          <w:sz w:val="28"/>
          <w:szCs w:val="28"/>
        </w:rPr>
        <w:t>Оклады работников, занимающих должности, не включенные в ПКГ, устанавливаются в следующих размерах:</w:t>
      </w:r>
    </w:p>
    <w:p>
      <w:pPr>
        <w:pStyle w:val="Normal"/>
        <w:ind w:firstLine="709"/>
        <w:jc w:val="both"/>
        <w:rPr>
          <w:sz w:val="28"/>
          <w:szCs w:val="28"/>
        </w:rPr>
      </w:pPr>
      <w:r>
        <w:rPr>
          <w:sz w:val="28"/>
          <w:szCs w:val="28"/>
        </w:rPr>
        <w:t>специалист по охране труда –12067</w:t>
      </w:r>
      <w:r>
        <w:rPr>
          <w:b/>
          <w:sz w:val="28"/>
          <w:szCs w:val="28"/>
        </w:rPr>
        <w:t xml:space="preserve"> </w:t>
      </w:r>
      <w:r>
        <w:rPr>
          <w:sz w:val="28"/>
          <w:szCs w:val="28"/>
        </w:rPr>
        <w:t>рублей.</w:t>
      </w:r>
    </w:p>
    <w:p>
      <w:pPr>
        <w:pStyle w:val="ConsPlusNonformat"/>
        <w:widowControl/>
        <w:ind w:firstLine="709"/>
        <w:jc w:val="both"/>
        <w:rPr>
          <w:rFonts w:ascii="Times New Roman" w:hAnsi="Times New Roman" w:cs="Times New Roman"/>
          <w:sz w:val="28"/>
          <w:szCs w:val="28"/>
        </w:rPr>
      </w:pPr>
      <w:r>
        <w:rPr>
          <w:rFonts w:cs="Times New Roman" w:ascii="Times New Roman" w:hAnsi="Times New Roman"/>
          <w:sz w:val="28"/>
          <w:szCs w:val="28"/>
        </w:rPr>
        <w:t xml:space="preserve">4.3. Установление окладов работников, осуществляющих профессиональную деятельность по профессиям рабочих, производится в соответствии с требованиями ЕТКС. </w:t>
      </w:r>
    </w:p>
    <w:p>
      <w:pPr>
        <w:pStyle w:val="ConsPlusNonformat"/>
        <w:widowControl/>
        <w:ind w:firstLine="709"/>
        <w:jc w:val="both"/>
        <w:rPr>
          <w:rFonts w:ascii="Times New Roman" w:hAnsi="Times New Roman" w:cs="Times New Roman"/>
          <w:sz w:val="28"/>
          <w:szCs w:val="28"/>
        </w:rPr>
      </w:pPr>
      <w:r>
        <w:rPr>
          <w:rFonts w:cs="Times New Roman" w:ascii="Times New Roman" w:hAnsi="Times New Roman"/>
          <w:sz w:val="28"/>
          <w:szCs w:val="28"/>
        </w:rPr>
        <w:t>Оклады рабочих организации устанавливаются в следующих размерах:</w:t>
      </w:r>
    </w:p>
    <w:tbl>
      <w:tblPr>
        <w:tblpPr w:vertAnchor="text" w:horzAnchor="page" w:leftFromText="180" w:rightFromText="180" w:tblpX="2458" w:tblpY="235"/>
        <w:tblW w:w="8745" w:type="dxa"/>
        <w:jc w:val="left"/>
        <w:tblInd w:w="108" w:type="dxa"/>
        <w:tblLayout w:type="fixed"/>
        <w:tblCellMar>
          <w:top w:w="0" w:type="dxa"/>
          <w:left w:w="108" w:type="dxa"/>
          <w:bottom w:w="0" w:type="dxa"/>
          <w:right w:w="108" w:type="dxa"/>
        </w:tblCellMar>
        <w:tblLook w:val="01e0"/>
      </w:tblPr>
      <w:tblGrid>
        <w:gridCol w:w="1592"/>
        <w:gridCol w:w="1652"/>
        <w:gridCol w:w="5501"/>
      </w:tblGrid>
      <w:tr>
        <w:trPr/>
        <w:tc>
          <w:tcPr>
            <w:tcW w:w="1592"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Разряды работ в соответствии с ЕТКС</w:t>
            </w:r>
          </w:p>
        </w:tc>
        <w:tc>
          <w:tcPr>
            <w:tcW w:w="1652"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Коэффициент для определения размеров окладов</w:t>
            </w:r>
          </w:p>
        </w:tc>
        <w:tc>
          <w:tcPr>
            <w:tcW w:w="5501"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Оклад, руб.</w:t>
            </w:r>
          </w:p>
        </w:tc>
      </w:tr>
      <w:tr>
        <w:trPr/>
        <w:tc>
          <w:tcPr>
            <w:tcW w:w="1592" w:type="dxa"/>
            <w:tcBorders>
              <w:top w:val="single" w:sz="4" w:space="0" w:color="000000"/>
              <w:left w:val="single" w:sz="4" w:space="0" w:color="000000"/>
              <w:bottom w:val="single" w:sz="4" w:space="0" w:color="000000"/>
              <w:right w:val="single" w:sz="4" w:space="0" w:color="000000"/>
            </w:tcBorders>
          </w:tcPr>
          <w:p>
            <w:pPr>
              <w:pStyle w:val="ConsPlusNonformat"/>
              <w:widowControl/>
              <w:jc w:val="center"/>
              <w:rPr>
                <w:rFonts w:ascii="Times New Roman" w:hAnsi="Times New Roman" w:cs="Times New Roman"/>
                <w:sz w:val="24"/>
                <w:szCs w:val="24"/>
              </w:rPr>
            </w:pPr>
            <w:r>
              <w:rPr>
                <w:rFonts w:cs="Times New Roman" w:ascii="Times New Roman" w:hAnsi="Times New Roman"/>
                <w:sz w:val="24"/>
                <w:szCs w:val="24"/>
              </w:rPr>
              <w:t>1 разряд</w:t>
            </w:r>
          </w:p>
        </w:tc>
        <w:tc>
          <w:tcPr>
            <w:tcW w:w="1652"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jc w:val="center"/>
              <w:rPr>
                <w:rFonts w:ascii="Times New Roman" w:hAnsi="Times New Roman" w:cs="Times New Roman"/>
                <w:sz w:val="24"/>
                <w:szCs w:val="24"/>
              </w:rPr>
            </w:pPr>
            <w:r>
              <w:rPr>
                <w:rFonts w:eastAsia="Calibri" w:cs="Times New Roman" w:ascii="Times New Roman" w:hAnsi="Times New Roman"/>
                <w:sz w:val="28"/>
                <w:szCs w:val="28"/>
              </w:rPr>
              <w:t>1,3</w:t>
            </w:r>
          </w:p>
        </w:tc>
        <w:tc>
          <w:tcPr>
            <w:tcW w:w="550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rFonts w:ascii="Times New Roman" w:hAnsi="Times New Roman" w:eastAsia="Calibri" w:cs="Times New Roman"/>
                <w:b/>
                <w:sz w:val="24"/>
                <w:szCs w:val="24"/>
              </w:rPr>
            </w:pPr>
            <w:r>
              <w:rPr>
                <w:rFonts w:eastAsia="Calibri" w:cs="Times New Roman" w:ascii="Times New Roman" w:hAnsi="Times New Roman"/>
                <w:sz w:val="28"/>
                <w:szCs w:val="28"/>
              </w:rPr>
              <w:t>6351</w:t>
            </w:r>
          </w:p>
        </w:tc>
      </w:tr>
      <w:tr>
        <w:trPr/>
        <w:tc>
          <w:tcPr>
            <w:tcW w:w="1592" w:type="dxa"/>
            <w:tcBorders>
              <w:top w:val="single" w:sz="4" w:space="0" w:color="000000"/>
              <w:left w:val="single" w:sz="4" w:space="0" w:color="000000"/>
              <w:bottom w:val="single" w:sz="4" w:space="0" w:color="000000"/>
              <w:right w:val="single" w:sz="4" w:space="0" w:color="000000"/>
            </w:tcBorders>
          </w:tcPr>
          <w:p>
            <w:pPr>
              <w:pStyle w:val="Normal"/>
              <w:jc w:val="center"/>
              <w:rPr/>
            </w:pPr>
            <w:r>
              <w:rPr/>
              <w:t>2 разряд</w:t>
            </w:r>
          </w:p>
        </w:tc>
        <w:tc>
          <w:tcPr>
            <w:tcW w:w="1652"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jc w:val="center"/>
              <w:rPr>
                <w:rFonts w:ascii="Times New Roman" w:hAnsi="Times New Roman" w:cs="Times New Roman"/>
                <w:sz w:val="24"/>
                <w:szCs w:val="24"/>
              </w:rPr>
            </w:pPr>
            <w:r>
              <w:rPr>
                <w:rFonts w:eastAsia="Calibri" w:cs="Times New Roman" w:ascii="Times New Roman" w:hAnsi="Times New Roman"/>
                <w:sz w:val="28"/>
                <w:szCs w:val="28"/>
              </w:rPr>
              <w:t>1,3651</w:t>
            </w:r>
          </w:p>
        </w:tc>
        <w:tc>
          <w:tcPr>
            <w:tcW w:w="550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rFonts w:ascii="Times New Roman" w:hAnsi="Times New Roman" w:eastAsia="Calibri" w:cs="Times New Roman"/>
                <w:b/>
                <w:sz w:val="24"/>
                <w:szCs w:val="24"/>
              </w:rPr>
            </w:pPr>
            <w:r>
              <w:rPr>
                <w:rFonts w:eastAsia="Calibri" w:cs="Times New Roman" w:ascii="Times New Roman" w:hAnsi="Times New Roman"/>
                <w:sz w:val="28"/>
                <w:szCs w:val="28"/>
              </w:rPr>
              <w:t>6669</w:t>
            </w:r>
          </w:p>
        </w:tc>
      </w:tr>
      <w:tr>
        <w:trPr/>
        <w:tc>
          <w:tcPr>
            <w:tcW w:w="1592" w:type="dxa"/>
            <w:tcBorders>
              <w:top w:val="single" w:sz="4" w:space="0" w:color="000000"/>
              <w:left w:val="single" w:sz="4" w:space="0" w:color="000000"/>
              <w:bottom w:val="single" w:sz="4" w:space="0" w:color="000000"/>
              <w:right w:val="single" w:sz="4" w:space="0" w:color="000000"/>
            </w:tcBorders>
          </w:tcPr>
          <w:p>
            <w:pPr>
              <w:pStyle w:val="Normal"/>
              <w:jc w:val="center"/>
              <w:rPr/>
            </w:pPr>
            <w:r>
              <w:rPr/>
              <w:t>3 разряд</w:t>
            </w:r>
          </w:p>
        </w:tc>
        <w:tc>
          <w:tcPr>
            <w:tcW w:w="1652"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jc w:val="center"/>
              <w:rPr>
                <w:rFonts w:ascii="Times New Roman" w:hAnsi="Times New Roman" w:cs="Times New Roman"/>
                <w:sz w:val="24"/>
                <w:szCs w:val="24"/>
              </w:rPr>
            </w:pPr>
            <w:r>
              <w:rPr>
                <w:rFonts w:eastAsia="Calibri" w:cs="Times New Roman" w:ascii="Times New Roman" w:hAnsi="Times New Roman"/>
                <w:sz w:val="28"/>
                <w:szCs w:val="28"/>
              </w:rPr>
              <w:t>1,4301</w:t>
            </w:r>
          </w:p>
        </w:tc>
        <w:tc>
          <w:tcPr>
            <w:tcW w:w="550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rFonts w:ascii="Times New Roman" w:hAnsi="Times New Roman" w:eastAsia="Calibri" w:cs="Times New Roman"/>
                <w:b/>
                <w:sz w:val="24"/>
                <w:szCs w:val="24"/>
              </w:rPr>
            </w:pPr>
            <w:r>
              <w:rPr>
                <w:rFonts w:eastAsia="Calibri" w:cs="Times New Roman" w:ascii="Times New Roman" w:hAnsi="Times New Roman"/>
                <w:sz w:val="28"/>
                <w:szCs w:val="28"/>
              </w:rPr>
              <w:t>6987</w:t>
            </w:r>
          </w:p>
        </w:tc>
      </w:tr>
      <w:tr>
        <w:trPr/>
        <w:tc>
          <w:tcPr>
            <w:tcW w:w="1592" w:type="dxa"/>
            <w:tcBorders>
              <w:top w:val="single" w:sz="4" w:space="0" w:color="000000"/>
              <w:left w:val="single" w:sz="4" w:space="0" w:color="000000"/>
              <w:bottom w:val="single" w:sz="4" w:space="0" w:color="000000"/>
              <w:right w:val="single" w:sz="4" w:space="0" w:color="000000"/>
            </w:tcBorders>
          </w:tcPr>
          <w:p>
            <w:pPr>
              <w:pStyle w:val="Normal"/>
              <w:jc w:val="center"/>
              <w:rPr/>
            </w:pPr>
            <w:r>
              <w:rPr/>
              <w:t>4 разряд</w:t>
            </w:r>
          </w:p>
        </w:tc>
        <w:tc>
          <w:tcPr>
            <w:tcW w:w="1652"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jc w:val="center"/>
              <w:rPr>
                <w:rFonts w:ascii="Times New Roman" w:hAnsi="Times New Roman" w:cs="Times New Roman"/>
                <w:sz w:val="24"/>
                <w:szCs w:val="24"/>
              </w:rPr>
            </w:pPr>
            <w:r>
              <w:rPr>
                <w:rFonts w:eastAsia="Calibri" w:cs="Times New Roman" w:ascii="Times New Roman" w:hAnsi="Times New Roman"/>
                <w:sz w:val="28"/>
                <w:szCs w:val="28"/>
              </w:rPr>
              <w:t>1,495</w:t>
            </w:r>
          </w:p>
        </w:tc>
        <w:tc>
          <w:tcPr>
            <w:tcW w:w="550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rFonts w:ascii="Times New Roman" w:hAnsi="Times New Roman" w:eastAsia="Calibri" w:cs="Times New Roman"/>
                <w:b/>
                <w:sz w:val="24"/>
                <w:szCs w:val="24"/>
              </w:rPr>
            </w:pPr>
            <w:r>
              <w:rPr>
                <w:rFonts w:eastAsia="Calibri" w:cs="Times New Roman" w:ascii="Times New Roman" w:hAnsi="Times New Roman"/>
                <w:sz w:val="28"/>
                <w:szCs w:val="28"/>
              </w:rPr>
              <w:t>7304</w:t>
            </w:r>
          </w:p>
        </w:tc>
      </w:tr>
      <w:tr>
        <w:trPr/>
        <w:tc>
          <w:tcPr>
            <w:tcW w:w="1592" w:type="dxa"/>
            <w:tcBorders>
              <w:top w:val="single" w:sz="4" w:space="0" w:color="000000"/>
              <w:left w:val="single" w:sz="4" w:space="0" w:color="000000"/>
              <w:bottom w:val="single" w:sz="4" w:space="0" w:color="000000"/>
              <w:right w:val="single" w:sz="4" w:space="0" w:color="000000"/>
            </w:tcBorders>
          </w:tcPr>
          <w:p>
            <w:pPr>
              <w:pStyle w:val="Normal"/>
              <w:jc w:val="center"/>
              <w:rPr/>
            </w:pPr>
            <w:r>
              <w:rPr/>
              <w:t>5 разряд</w:t>
            </w:r>
          </w:p>
        </w:tc>
        <w:tc>
          <w:tcPr>
            <w:tcW w:w="1652"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jc w:val="center"/>
              <w:rPr>
                <w:rFonts w:ascii="Times New Roman" w:hAnsi="Times New Roman" w:cs="Times New Roman"/>
                <w:sz w:val="24"/>
                <w:szCs w:val="24"/>
              </w:rPr>
            </w:pPr>
            <w:r>
              <w:rPr>
                <w:rFonts w:eastAsia="Calibri" w:cs="Times New Roman" w:ascii="Times New Roman" w:hAnsi="Times New Roman"/>
                <w:sz w:val="28"/>
                <w:szCs w:val="28"/>
              </w:rPr>
              <w:t>1,62519</w:t>
            </w:r>
          </w:p>
        </w:tc>
        <w:tc>
          <w:tcPr>
            <w:tcW w:w="550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rFonts w:ascii="Times New Roman" w:hAnsi="Times New Roman" w:eastAsia="Calibri" w:cs="Times New Roman"/>
                <w:b/>
                <w:sz w:val="24"/>
                <w:szCs w:val="24"/>
              </w:rPr>
            </w:pPr>
            <w:r>
              <w:rPr>
                <w:rFonts w:eastAsia="Calibri" w:cs="Times New Roman" w:ascii="Times New Roman" w:hAnsi="Times New Roman"/>
                <w:sz w:val="28"/>
                <w:szCs w:val="28"/>
              </w:rPr>
              <w:t>7940</w:t>
            </w:r>
          </w:p>
        </w:tc>
      </w:tr>
      <w:tr>
        <w:trPr/>
        <w:tc>
          <w:tcPr>
            <w:tcW w:w="1592" w:type="dxa"/>
            <w:tcBorders>
              <w:top w:val="single" w:sz="4" w:space="0" w:color="000000"/>
              <w:left w:val="single" w:sz="4" w:space="0" w:color="000000"/>
              <w:bottom w:val="single" w:sz="4" w:space="0" w:color="000000"/>
              <w:right w:val="single" w:sz="4" w:space="0" w:color="000000"/>
            </w:tcBorders>
          </w:tcPr>
          <w:p>
            <w:pPr>
              <w:pStyle w:val="Normal"/>
              <w:jc w:val="center"/>
              <w:rPr/>
            </w:pPr>
            <w:r>
              <w:rPr/>
              <w:t>6 разряд</w:t>
            </w:r>
          </w:p>
        </w:tc>
        <w:tc>
          <w:tcPr>
            <w:tcW w:w="1652"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jc w:val="center"/>
              <w:rPr>
                <w:rFonts w:ascii="Times New Roman" w:hAnsi="Times New Roman" w:cs="Times New Roman"/>
                <w:sz w:val="24"/>
                <w:szCs w:val="24"/>
              </w:rPr>
            </w:pPr>
            <w:r>
              <w:rPr>
                <w:rFonts w:eastAsia="Calibri" w:cs="Times New Roman" w:ascii="Times New Roman" w:hAnsi="Times New Roman"/>
                <w:sz w:val="28"/>
                <w:szCs w:val="28"/>
              </w:rPr>
              <w:t>1,82</w:t>
            </w:r>
          </w:p>
        </w:tc>
        <w:tc>
          <w:tcPr>
            <w:tcW w:w="550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rFonts w:ascii="Times New Roman" w:hAnsi="Times New Roman" w:eastAsia="Calibri" w:cs="Times New Roman"/>
                <w:b/>
                <w:sz w:val="24"/>
                <w:szCs w:val="24"/>
              </w:rPr>
            </w:pPr>
            <w:r>
              <w:rPr>
                <w:rFonts w:eastAsia="Calibri" w:cs="Times New Roman" w:ascii="Times New Roman" w:hAnsi="Times New Roman"/>
                <w:sz w:val="28"/>
                <w:szCs w:val="28"/>
              </w:rPr>
              <w:t>8891</w:t>
            </w:r>
          </w:p>
        </w:tc>
      </w:tr>
      <w:tr>
        <w:trPr/>
        <w:tc>
          <w:tcPr>
            <w:tcW w:w="1592" w:type="dxa"/>
            <w:tcBorders>
              <w:top w:val="single" w:sz="4" w:space="0" w:color="000000"/>
              <w:left w:val="single" w:sz="4" w:space="0" w:color="000000"/>
              <w:bottom w:val="single" w:sz="4" w:space="0" w:color="000000"/>
              <w:right w:val="single" w:sz="4" w:space="0" w:color="000000"/>
            </w:tcBorders>
          </w:tcPr>
          <w:p>
            <w:pPr>
              <w:pStyle w:val="Normal"/>
              <w:jc w:val="center"/>
              <w:rPr/>
            </w:pPr>
            <w:r>
              <w:rPr/>
              <w:t>7 разряд</w:t>
            </w:r>
          </w:p>
        </w:tc>
        <w:tc>
          <w:tcPr>
            <w:tcW w:w="1652"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jc w:val="center"/>
              <w:rPr>
                <w:rFonts w:ascii="Times New Roman" w:hAnsi="Times New Roman" w:cs="Times New Roman"/>
                <w:sz w:val="24"/>
                <w:szCs w:val="24"/>
              </w:rPr>
            </w:pPr>
            <w:r>
              <w:rPr>
                <w:rFonts w:eastAsia="Calibri" w:cs="Times New Roman" w:ascii="Times New Roman" w:hAnsi="Times New Roman"/>
                <w:sz w:val="28"/>
                <w:szCs w:val="28"/>
              </w:rPr>
              <w:t>2,015</w:t>
            </w:r>
          </w:p>
        </w:tc>
        <w:tc>
          <w:tcPr>
            <w:tcW w:w="550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rFonts w:ascii="Times New Roman" w:hAnsi="Times New Roman" w:eastAsia="Calibri" w:cs="Times New Roman"/>
                <w:b/>
                <w:sz w:val="24"/>
                <w:szCs w:val="24"/>
              </w:rPr>
            </w:pPr>
            <w:r>
              <w:rPr>
                <w:rFonts w:eastAsia="Calibri" w:cs="Times New Roman" w:ascii="Times New Roman" w:hAnsi="Times New Roman"/>
                <w:sz w:val="28"/>
                <w:szCs w:val="28"/>
              </w:rPr>
              <w:t>9844</w:t>
            </w:r>
          </w:p>
        </w:tc>
      </w:tr>
      <w:tr>
        <w:trPr/>
        <w:tc>
          <w:tcPr>
            <w:tcW w:w="1592" w:type="dxa"/>
            <w:tcBorders>
              <w:top w:val="single" w:sz="4" w:space="0" w:color="000000"/>
              <w:left w:val="single" w:sz="4" w:space="0" w:color="000000"/>
              <w:bottom w:val="single" w:sz="4" w:space="0" w:color="000000"/>
              <w:right w:val="single" w:sz="4" w:space="0" w:color="000000"/>
            </w:tcBorders>
          </w:tcPr>
          <w:p>
            <w:pPr>
              <w:pStyle w:val="Normal"/>
              <w:jc w:val="center"/>
              <w:rPr/>
            </w:pPr>
            <w:r>
              <w:rPr/>
              <w:t>8 разряд</w:t>
            </w:r>
          </w:p>
        </w:tc>
        <w:tc>
          <w:tcPr>
            <w:tcW w:w="1652" w:type="dxa"/>
            <w:tcBorders>
              <w:top w:val="single" w:sz="4" w:space="0" w:color="000000"/>
              <w:left w:val="single" w:sz="4" w:space="0" w:color="000000"/>
              <w:bottom w:val="single" w:sz="4" w:space="0" w:color="000000"/>
              <w:right w:val="single" w:sz="4" w:space="0" w:color="000000"/>
            </w:tcBorders>
            <w:vAlign w:val="center"/>
          </w:tcPr>
          <w:p>
            <w:pPr>
              <w:pStyle w:val="ConsPlusNonformat"/>
              <w:widowControl/>
              <w:jc w:val="center"/>
              <w:rPr>
                <w:rFonts w:ascii="Times New Roman" w:hAnsi="Times New Roman" w:cs="Times New Roman"/>
                <w:sz w:val="24"/>
                <w:szCs w:val="24"/>
              </w:rPr>
            </w:pPr>
            <w:r>
              <w:rPr>
                <w:rFonts w:eastAsia="Calibri" w:cs="Times New Roman" w:ascii="Times New Roman" w:hAnsi="Times New Roman"/>
                <w:sz w:val="28"/>
                <w:szCs w:val="28"/>
              </w:rPr>
              <w:t>2,2101</w:t>
            </w:r>
          </w:p>
        </w:tc>
        <w:tc>
          <w:tcPr>
            <w:tcW w:w="5501" w:type="dxa"/>
            <w:tcBorders>
              <w:top w:val="single" w:sz="4" w:space="0" w:color="000000"/>
              <w:left w:val="single" w:sz="4" w:space="0" w:color="000000"/>
              <w:bottom w:val="single" w:sz="4" w:space="0" w:color="000000"/>
              <w:right w:val="single" w:sz="4" w:space="0" w:color="000000"/>
            </w:tcBorders>
            <w:vAlign w:val="center"/>
          </w:tcPr>
          <w:p>
            <w:pPr>
              <w:pStyle w:val="ConsPlusNormal"/>
              <w:jc w:val="center"/>
              <w:rPr>
                <w:rFonts w:ascii="Times New Roman" w:hAnsi="Times New Roman" w:eastAsia="Calibri" w:cs="Times New Roman"/>
                <w:b/>
                <w:sz w:val="24"/>
                <w:szCs w:val="24"/>
              </w:rPr>
            </w:pPr>
            <w:r>
              <w:rPr>
                <w:rFonts w:eastAsia="Calibri" w:cs="Times New Roman" w:ascii="Times New Roman" w:hAnsi="Times New Roman"/>
                <w:sz w:val="28"/>
                <w:szCs w:val="28"/>
              </w:rPr>
              <w:t>10797</w:t>
            </w:r>
          </w:p>
        </w:tc>
      </w:tr>
    </w:tbl>
    <w:p>
      <w:pPr>
        <w:pStyle w:val="ConsPlusNonformat"/>
        <w:widowControl/>
        <w:ind w:firstLine="708"/>
        <w:jc w:val="both"/>
        <w:rPr>
          <w:rFonts w:ascii="Times New Roman" w:hAnsi="Times New Roman" w:cs="Times New Roman"/>
          <w:sz w:val="28"/>
          <w:szCs w:val="28"/>
        </w:rPr>
      </w:pPr>
      <w:r>
        <w:rPr>
          <w:rFonts w:cs="Times New Roman" w:ascii="Times New Roman" w:hAnsi="Times New Roman"/>
          <w:sz w:val="28"/>
          <w:szCs w:val="28"/>
        </w:rPr>
      </w:r>
    </w:p>
    <w:p>
      <w:pPr>
        <w:pStyle w:val="ConsPlusNonformat"/>
        <w:widowControl/>
        <w:ind w:firstLine="708"/>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b/>
          <w:sz w:val="28"/>
          <w:szCs w:val="28"/>
        </w:rPr>
      </w:pPr>
      <w:r>
        <w:rPr>
          <w:b/>
          <w:sz w:val="28"/>
          <w:szCs w:val="28"/>
        </w:rPr>
      </w:r>
    </w:p>
    <w:p>
      <w:pPr>
        <w:pStyle w:val="BodyTextIndent"/>
        <w:ind w:left="0"/>
        <w:jc w:val="center"/>
        <w:rPr>
          <w:b/>
          <w:sz w:val="28"/>
          <w:szCs w:val="28"/>
        </w:rPr>
      </w:pPr>
      <w:r>
        <w:rPr>
          <w:b/>
          <w:sz w:val="28"/>
          <w:szCs w:val="28"/>
        </w:rPr>
      </w:r>
    </w:p>
    <w:p>
      <w:pPr>
        <w:pStyle w:val="BodyTextIndent"/>
        <w:ind w:left="0"/>
        <w:jc w:val="center"/>
        <w:rPr>
          <w:b/>
          <w:sz w:val="28"/>
          <w:szCs w:val="28"/>
        </w:rPr>
      </w:pPr>
      <w:r>
        <w:rPr>
          <w:b/>
          <w:sz w:val="28"/>
          <w:szCs w:val="28"/>
        </w:rPr>
      </w:r>
    </w:p>
    <w:p>
      <w:pPr>
        <w:pStyle w:val="BodyTextIndent"/>
        <w:ind w:left="0"/>
        <w:jc w:val="center"/>
        <w:rPr>
          <w:b/>
          <w:sz w:val="28"/>
          <w:szCs w:val="28"/>
        </w:rPr>
      </w:pPr>
      <w:r>
        <w:rPr>
          <w:b/>
          <w:sz w:val="28"/>
          <w:szCs w:val="28"/>
        </w:rPr>
      </w:r>
    </w:p>
    <w:p>
      <w:pPr>
        <w:pStyle w:val="BodyTextIndent"/>
        <w:ind w:left="0"/>
        <w:jc w:val="center"/>
        <w:rPr>
          <w:b/>
          <w:sz w:val="28"/>
          <w:szCs w:val="28"/>
        </w:rPr>
      </w:pPr>
      <w:r>
        <w:rPr>
          <w:b/>
          <w:sz w:val="28"/>
          <w:szCs w:val="28"/>
        </w:rPr>
      </w:r>
    </w:p>
    <w:p>
      <w:pPr>
        <w:pStyle w:val="BodyTextIndent"/>
        <w:ind w:left="0"/>
        <w:jc w:val="center"/>
        <w:rPr>
          <w:b/>
          <w:sz w:val="28"/>
          <w:szCs w:val="28"/>
        </w:rPr>
      </w:pPr>
      <w:r>
        <w:rPr>
          <w:b/>
          <w:sz w:val="28"/>
          <w:szCs w:val="28"/>
        </w:rPr>
      </w:r>
    </w:p>
    <w:p>
      <w:pPr>
        <w:pStyle w:val="BodyTextIndent"/>
        <w:ind w:left="0"/>
        <w:jc w:val="center"/>
        <w:rPr>
          <w:b/>
          <w:sz w:val="28"/>
          <w:szCs w:val="28"/>
        </w:rPr>
      </w:pPr>
      <w:r>
        <w:rPr>
          <w:b/>
          <w:sz w:val="28"/>
          <w:szCs w:val="28"/>
        </w:rPr>
      </w:r>
    </w:p>
    <w:p>
      <w:pPr>
        <w:pStyle w:val="BodyTextIndent"/>
        <w:ind w:left="0"/>
        <w:jc w:val="center"/>
        <w:rPr>
          <w:b/>
          <w:sz w:val="28"/>
          <w:szCs w:val="28"/>
        </w:rPr>
      </w:pPr>
      <w:r>
        <w:rPr>
          <w:b/>
          <w:sz w:val="28"/>
          <w:szCs w:val="28"/>
        </w:rPr>
      </w:r>
    </w:p>
    <w:p>
      <w:pPr>
        <w:pStyle w:val="BodyTextIndent"/>
        <w:ind w:left="0"/>
        <w:jc w:val="center"/>
        <w:rPr>
          <w:b/>
          <w:sz w:val="28"/>
          <w:szCs w:val="28"/>
        </w:rPr>
      </w:pPr>
      <w:r>
        <w:rPr>
          <w:b/>
          <w:sz w:val="28"/>
          <w:szCs w:val="28"/>
        </w:rPr>
      </w:r>
    </w:p>
    <w:p>
      <w:pPr>
        <w:pStyle w:val="BodyTextIndent"/>
        <w:ind w:left="0"/>
        <w:jc w:val="center"/>
        <w:rPr>
          <w:b/>
          <w:sz w:val="28"/>
          <w:szCs w:val="28"/>
        </w:rPr>
      </w:pPr>
      <w:r>
        <w:rPr>
          <w:b/>
          <w:sz w:val="28"/>
          <w:szCs w:val="28"/>
        </w:rPr>
      </w:r>
    </w:p>
    <w:p>
      <w:pPr>
        <w:pStyle w:val="BodyTextIndent"/>
        <w:ind w:left="0"/>
        <w:jc w:val="center"/>
        <w:rPr>
          <w:b/>
          <w:sz w:val="28"/>
          <w:szCs w:val="28"/>
        </w:rPr>
      </w:pPr>
      <w:r>
        <w:rPr>
          <w:b/>
          <w:sz w:val="28"/>
          <w:szCs w:val="28"/>
        </w:rPr>
        <w:t>5. Порядок и условия установления выплат компенсационного характера</w:t>
      </w:r>
    </w:p>
    <w:p>
      <w:pPr>
        <w:pStyle w:val="BodyText3"/>
        <w:spacing w:before="0" w:after="0"/>
        <w:ind w:firstLine="709"/>
        <w:jc w:val="both"/>
        <w:rPr>
          <w:sz w:val="28"/>
          <w:szCs w:val="28"/>
        </w:rPr>
      </w:pPr>
      <w:r>
        <w:rPr>
          <w:sz w:val="28"/>
          <w:szCs w:val="28"/>
        </w:rPr>
        <w:t>5.1. Выплаты компенсационного характера устанавливаются к окладам и ставкам заработной платы работников в процентах.</w:t>
      </w:r>
    </w:p>
    <w:p>
      <w:pPr>
        <w:pStyle w:val="Style20"/>
        <w:ind w:firstLine="709"/>
        <w:jc w:val="both"/>
        <w:rPr>
          <w:sz w:val="28"/>
          <w:szCs w:val="28"/>
        </w:rPr>
      </w:pPr>
      <w:r>
        <w:rPr>
          <w:sz w:val="28"/>
          <w:szCs w:val="28"/>
        </w:rPr>
        <w:t xml:space="preserve">5.2. Работникам устанавливаются следующие выплаты компенсационного характера: </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5.2.1. Выплата за каждый час работы в ночное время (в период с 10 часов вечера до 6 часов утра) осуществляется в размере 50% часовой ставки.</w:t>
      </w:r>
    </w:p>
    <w:p>
      <w:pPr>
        <w:pStyle w:val="Normal"/>
        <w:ind w:firstLine="709"/>
        <w:jc w:val="both"/>
        <w:rPr>
          <w:sz w:val="28"/>
          <w:szCs w:val="28"/>
        </w:rPr>
      </w:pPr>
      <w:r>
        <w:rPr>
          <w:sz w:val="28"/>
          <w:szCs w:val="28"/>
        </w:rPr>
        <w:t>5.2.2. В случае привлечения работника к работе в установленный ему графиком выходной день или нерабочий праздничный день работа оплачивается:</w:t>
      </w:r>
    </w:p>
    <w:p>
      <w:pPr>
        <w:pStyle w:val="Normal"/>
        <w:ind w:firstLine="709"/>
        <w:jc w:val="both"/>
        <w:rPr>
          <w:sz w:val="28"/>
          <w:szCs w:val="28"/>
        </w:rPr>
      </w:pPr>
      <w:r>
        <w:rPr>
          <w:sz w:val="28"/>
          <w:szCs w:val="28"/>
        </w:rPr>
        <w:t>работникам, труд которых оплачивается по дневным и часовым ставкам, - в размере двойной дневной или часовой ставки;</w:t>
      </w:r>
    </w:p>
    <w:p>
      <w:pPr>
        <w:pStyle w:val="Normal"/>
        <w:ind w:firstLine="709"/>
        <w:jc w:val="both"/>
        <w:rPr>
          <w:sz w:val="28"/>
          <w:szCs w:val="28"/>
        </w:rPr>
      </w:pPr>
      <w:r>
        <w:rPr>
          <w:sz w:val="28"/>
          <w:szCs w:val="28"/>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pPr>
        <w:pStyle w:val="Normal"/>
        <w:ind w:firstLine="709"/>
        <w:jc w:val="both"/>
        <w:rPr>
          <w:sz w:val="28"/>
          <w:szCs w:val="28"/>
        </w:rPr>
      </w:pPr>
      <w:r>
        <w:rPr>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pPr>
        <w:pStyle w:val="Normal"/>
        <w:ind w:firstLine="709"/>
        <w:jc w:val="both"/>
        <w:rPr>
          <w:sz w:val="28"/>
          <w:szCs w:val="28"/>
        </w:rPr>
      </w:pPr>
      <w:r>
        <w:rPr>
          <w:sz w:val="28"/>
          <w:szCs w:val="28"/>
        </w:rPr>
        <w:t>День отдыха по желанию работника может быть использован работников или присоединен к отпуску, предоставляемому в указанный период.</w:t>
      </w:r>
    </w:p>
    <w:p>
      <w:pPr>
        <w:pStyle w:val="Normal"/>
        <w:ind w:firstLine="709"/>
        <w:jc w:val="both"/>
        <w:rPr>
          <w:sz w:val="28"/>
          <w:szCs w:val="28"/>
        </w:rPr>
      </w:pPr>
      <w:r>
        <w:rPr>
          <w:sz w:val="28"/>
          <w:szCs w:val="28"/>
        </w:rPr>
        <w:t xml:space="preserve">В случае, если на день увольнения работника имеются дни отдыха </w:t>
        <w:br/>
        <w:t>за работу в выходной или нерабочий праздничный день, не использованные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выходные или нерабочие праздничные дни, и фактически произведенной оплатой работы в эти дни.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pPr>
        <w:pStyle w:val="Normal"/>
        <w:ind w:firstLine="709"/>
        <w:jc w:val="both"/>
        <w:rPr>
          <w:sz w:val="28"/>
          <w:szCs w:val="28"/>
        </w:rPr>
      </w:pPr>
      <w:r>
        <w:rPr>
          <w:sz w:val="28"/>
          <w:szCs w:val="28"/>
        </w:rPr>
        <w:t>На оплату труда работника за работу в выходной день или нерабочий праздничный день начисляются компенсационные и стимулирующие выплаты, установленные трудовым договором.</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5.2.3.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 </w:t>
      </w:r>
    </w:p>
    <w:p>
      <w:pPr>
        <w:pStyle w:val="Normal"/>
        <w:ind w:firstLine="709"/>
        <w:jc w:val="both"/>
        <w:rPr>
          <w:sz w:val="28"/>
          <w:szCs w:val="28"/>
        </w:rPr>
      </w:pPr>
      <w:r>
        <w:rPr>
          <w:sz w:val="28"/>
          <w:szCs w:val="28"/>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w:t>
      </w:r>
    </w:p>
    <w:p>
      <w:pPr>
        <w:pStyle w:val="ConsPlusNormal"/>
        <w:widowControl/>
        <w:jc w:val="both"/>
        <w:rPr>
          <w:rFonts w:ascii="Times New Roman" w:hAnsi="Times New Roman" w:cs="Times New Roman"/>
          <w:sz w:val="28"/>
          <w:szCs w:val="28"/>
        </w:rPr>
      </w:pPr>
      <w:r>
        <w:rPr>
          <w:rFonts w:cs="Times New Roman" w:ascii="Times New Roman" w:hAnsi="Times New Roman"/>
          <w:sz w:val="28"/>
          <w:szCs w:val="28"/>
        </w:rPr>
        <w:t>5.2.4. Переработка рабочего времени воспитателей, помощников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w:t>
      </w:r>
    </w:p>
    <w:p>
      <w:pPr>
        <w:pStyle w:val="ConsPlusNormal"/>
        <w:widowControl/>
        <w:jc w:val="both"/>
        <w:rPr>
          <w:rFonts w:ascii="Times New Roman" w:hAnsi="Times New Roman" w:cs="Times New Roman"/>
          <w:sz w:val="28"/>
          <w:szCs w:val="28"/>
        </w:rPr>
      </w:pPr>
      <w:r>
        <w:rPr>
          <w:rFonts w:cs="Times New Roman" w:ascii="Times New Roman" w:hAnsi="Times New Roman"/>
          <w:sz w:val="28"/>
          <w:szCs w:val="28"/>
        </w:rPr>
        <w:t xml:space="preserve">Оплата труда за сверхурочную работу производится за первые два часа работы в полуторном размере, за последующие часы - в двойном размере по ставкам почасовой оплаты труда. </w:t>
      </w:r>
    </w:p>
    <w:p>
      <w:pPr>
        <w:pStyle w:val="ConsPlusNormal"/>
        <w:widowControl/>
        <w:jc w:val="both"/>
        <w:rPr>
          <w:rFonts w:ascii="Times New Roman" w:hAnsi="Times New Roman" w:cs="Times New Roman"/>
          <w:sz w:val="28"/>
          <w:szCs w:val="28"/>
        </w:rPr>
      </w:pPr>
      <w:r>
        <w:rPr>
          <w:rFonts w:cs="Times New Roman" w:ascii="Times New Roman" w:hAnsi="Times New Roman"/>
          <w:sz w:val="28"/>
          <w:szCs w:val="28"/>
        </w:rPr>
        <w:t>Часовая тарифная ставка рассчитывается путем деления ставки заработной платы, оклада работника на среднемесячное количество рабочих часов в зависимости от установленной продолжительности рабочей недели в часах.</w:t>
      </w:r>
    </w:p>
    <w:p>
      <w:pPr>
        <w:pStyle w:val="ConsPlusNormal"/>
        <w:widowControl/>
        <w:jc w:val="both"/>
        <w:rPr>
          <w:rFonts w:ascii="Times New Roman" w:hAnsi="Times New Roman" w:cs="Times New Roman"/>
          <w:sz w:val="28"/>
          <w:szCs w:val="28"/>
        </w:rPr>
      </w:pPr>
      <w:r>
        <w:rPr>
          <w:rFonts w:cs="Times New Roman" w:ascii="Times New Roman" w:hAnsi="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pPr>
        <w:pStyle w:val="ConsPlusNormal"/>
        <w:widowControl/>
        <w:jc w:val="both"/>
        <w:rPr>
          <w:rFonts w:ascii="Times New Roman" w:hAnsi="Times New Roman" w:cs="Times New Roman"/>
          <w:bCs/>
          <w:sz w:val="28"/>
          <w:szCs w:val="28"/>
        </w:rPr>
      </w:pPr>
      <w:r>
        <w:rPr>
          <w:rFonts w:cs="Times New Roman" w:ascii="Times New Roman" w:hAnsi="Times New Roman"/>
          <w:bCs/>
          <w:sz w:val="28"/>
          <w:szCs w:val="28"/>
        </w:rPr>
        <w:t xml:space="preserve">На оплату труда за сверхурочную работу начисляются компенсационные и стимулирующие выплаты, установленные трудовым договором. </w:t>
      </w:r>
    </w:p>
    <w:p>
      <w:pPr>
        <w:pStyle w:val="ConsPlusNormal"/>
        <w:widowControl/>
        <w:jc w:val="both"/>
        <w:rPr>
          <w:rFonts w:ascii="Times New Roman" w:hAnsi="Times New Roman" w:cs="Times New Roman"/>
          <w:sz w:val="28"/>
          <w:szCs w:val="28"/>
        </w:rPr>
      </w:pPr>
      <w:r>
        <w:rPr>
          <w:rFonts w:cs="Times New Roman" w:ascii="Times New Roman" w:hAnsi="Times New Roman"/>
          <w:sz w:val="28"/>
          <w:szCs w:val="28"/>
        </w:rPr>
        <w:t>5.2.5. Работникам, выполняющим в организации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pPr>
        <w:pStyle w:val="BodyTextIndent3"/>
        <w:spacing w:before="0" w:after="0"/>
        <w:ind w:left="0"/>
        <w:jc w:val="both"/>
        <w:rPr/>
      </w:pPr>
      <w:r>
        <w:rPr>
          <w:sz w:val="28"/>
          <w:szCs w:val="28"/>
        </w:rPr>
        <w:t xml:space="preserve">   </w:t>
      </w:r>
      <w:r>
        <w:rPr>
          <w:sz w:val="28"/>
          <w:szCs w:val="28"/>
        </w:rPr>
        <w:t xml:space="preserve">Данное положение применяется также при установлении доплат педагогическим работникам за превышение предельной наполняемости групп. </w:t>
      </w:r>
      <w:r>
        <w:rPr>
          <w:color w:val="004C97"/>
          <w:sz w:val="28"/>
          <w:szCs w:val="28"/>
        </w:rPr>
        <w:t xml:space="preserve"> </w:t>
      </w:r>
    </w:p>
    <w:p>
      <w:pPr>
        <w:pStyle w:val="ConsPlusNormal"/>
        <w:widowControl/>
        <w:jc w:val="both"/>
        <w:rPr>
          <w:rFonts w:ascii="Times New Roman" w:hAnsi="Times New Roman" w:cs="Times New Roman"/>
          <w:sz w:val="28"/>
          <w:szCs w:val="28"/>
        </w:rPr>
      </w:pPr>
      <w:r>
        <w:rPr>
          <w:rFonts w:cs="Times New Roman" w:ascii="Times New Roman" w:hAnsi="Times New Roman"/>
          <w:sz w:val="28"/>
          <w:szCs w:val="28"/>
        </w:rPr>
        <w:t>5.2.6. В организации к заработной плате работников применяется районный коэффициент 1,15, который начисляется на фактический заработок.</w:t>
      </w:r>
    </w:p>
    <w:p>
      <w:pPr>
        <w:pStyle w:val="Normal"/>
        <w:ind w:firstLine="709"/>
        <w:jc w:val="both"/>
        <w:rPr>
          <w:sz w:val="28"/>
          <w:szCs w:val="28"/>
        </w:rPr>
      </w:pPr>
      <w:r>
        <w:rPr>
          <w:sz w:val="28"/>
          <w:szCs w:val="28"/>
        </w:rPr>
        <w:t>5.2.7. Работникам организации за специфику работы осуществляются компенсационные выплаты в следующих размерах:</w:t>
      </w:r>
    </w:p>
    <w:p>
      <w:pPr>
        <w:pStyle w:val="Normal"/>
        <w:ind w:firstLine="777" w:left="-57"/>
        <w:jc w:val="both"/>
        <w:rPr>
          <w:sz w:val="28"/>
          <w:szCs w:val="28"/>
        </w:rPr>
      </w:pPr>
      <w:r>
        <w:rPr>
          <w:sz w:val="28"/>
          <w:szCs w:val="28"/>
        </w:rPr>
      </w:r>
    </w:p>
    <w:tbl>
      <w:tblPr>
        <w:tblW w:w="5000" w:type="pct"/>
        <w:jc w:val="center"/>
        <w:tblInd w:w="0" w:type="dxa"/>
        <w:tblLayout w:type="fixed"/>
        <w:tblCellMar>
          <w:top w:w="0" w:type="dxa"/>
          <w:left w:w="108" w:type="dxa"/>
          <w:bottom w:w="0" w:type="dxa"/>
          <w:right w:w="108" w:type="dxa"/>
        </w:tblCellMar>
        <w:tblLook w:val="01e0"/>
      </w:tblPr>
      <w:tblGrid>
        <w:gridCol w:w="7856"/>
        <w:gridCol w:w="1780"/>
      </w:tblGrid>
      <w:tr>
        <w:trPr/>
        <w:tc>
          <w:tcPr>
            <w:tcW w:w="7856" w:type="dxa"/>
            <w:tcBorders>
              <w:top w:val="single" w:sz="4" w:space="0" w:color="000000"/>
              <w:left w:val="single" w:sz="4" w:space="0" w:color="000000"/>
              <w:bottom w:val="single" w:sz="4" w:space="0" w:color="000000"/>
              <w:right w:val="single" w:sz="4" w:space="0" w:color="000000"/>
            </w:tcBorders>
            <w:vAlign w:val="center"/>
          </w:tcPr>
          <w:p>
            <w:pPr>
              <w:pStyle w:val="Normal"/>
              <w:rPr>
                <w:sz w:val="28"/>
                <w:szCs w:val="28"/>
              </w:rPr>
            </w:pPr>
            <w:r>
              <w:rPr>
                <w:sz w:val="28"/>
                <w:szCs w:val="28"/>
              </w:rPr>
              <w:t xml:space="preserve">                 </w:t>
            </w:r>
            <w:r>
              <w:rPr>
                <w:sz w:val="28"/>
                <w:szCs w:val="28"/>
              </w:rPr>
              <w:t>Наименование выплат*</w:t>
            </w:r>
          </w:p>
          <w:p>
            <w:pPr>
              <w:pStyle w:val="Normal"/>
              <w:rPr>
                <w:sz w:val="28"/>
                <w:szCs w:val="28"/>
              </w:rPr>
            </w:pPr>
            <w:r>
              <w:rPr>
                <w:i/>
                <w:sz w:val="20"/>
                <w:szCs w:val="20"/>
              </w:rPr>
              <w:t>*организация отражает в своем Положении только те компенсационные выплаты за специфику работы, которые осуществляются в данном организации.</w:t>
            </w:r>
          </w:p>
        </w:tc>
        <w:tc>
          <w:tcPr>
            <w:tcW w:w="17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r>
          </w:p>
          <w:p>
            <w:pPr>
              <w:pStyle w:val="Normal"/>
              <w:tabs>
                <w:tab w:val="clear" w:pos="708"/>
                <w:tab w:val="left" w:pos="1946" w:leader="none"/>
              </w:tabs>
              <w:ind w:left="-54"/>
              <w:jc w:val="center"/>
              <w:rPr>
                <w:sz w:val="28"/>
                <w:szCs w:val="28"/>
              </w:rPr>
            </w:pPr>
            <w:r>
              <w:rPr>
                <w:sz w:val="28"/>
                <w:szCs w:val="28"/>
              </w:rPr>
              <w:t>Размер, %</w:t>
            </w:r>
          </w:p>
          <w:p>
            <w:pPr>
              <w:pStyle w:val="Normal"/>
              <w:jc w:val="center"/>
              <w:rPr>
                <w:sz w:val="28"/>
                <w:szCs w:val="28"/>
              </w:rPr>
            </w:pPr>
            <w:r>
              <w:rPr>
                <w:sz w:val="28"/>
                <w:szCs w:val="28"/>
              </w:rPr>
            </w:r>
          </w:p>
        </w:tc>
      </w:tr>
      <w:tr>
        <w:trPr>
          <w:trHeight w:val="1006" w:hRule="atLeast"/>
        </w:trPr>
        <w:tc>
          <w:tcPr>
            <w:tcW w:w="7856" w:type="dxa"/>
            <w:tcBorders>
              <w:top w:val="single" w:sz="4" w:space="0" w:color="000000"/>
              <w:left w:val="single" w:sz="4" w:space="0" w:color="000000"/>
              <w:bottom w:val="single" w:sz="4" w:space="0" w:color="000000"/>
              <w:right w:val="single" w:sz="4" w:space="0" w:color="000000"/>
            </w:tcBorders>
          </w:tcPr>
          <w:p>
            <w:pPr>
              <w:pStyle w:val="Normal"/>
              <w:jc w:val="both"/>
              <w:rPr>
                <w:iCs/>
                <w:sz w:val="28"/>
                <w:szCs w:val="28"/>
              </w:rPr>
            </w:pPr>
            <w:r>
              <w:rPr>
                <w:sz w:val="28"/>
                <w:szCs w:val="28"/>
              </w:rPr>
              <w:t>Педагогическим работникам в образовательных организациях, работающим в специальных (коррекционных) группах для воспитанников с ограниченными возможностями здоровья</w:t>
            </w:r>
          </w:p>
        </w:tc>
        <w:tc>
          <w:tcPr>
            <w:tcW w:w="1780"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t>11,6</w:t>
            </w:r>
          </w:p>
        </w:tc>
      </w:tr>
      <w:tr>
        <w:trPr/>
        <w:tc>
          <w:tcPr>
            <w:tcW w:w="7856" w:type="dxa"/>
            <w:tcBorders>
              <w:top w:val="single" w:sz="4" w:space="0" w:color="000000"/>
              <w:left w:val="single" w:sz="4" w:space="0" w:color="000000"/>
              <w:bottom w:val="single" w:sz="4" w:space="0" w:color="000000"/>
              <w:right w:val="single" w:sz="4" w:space="0" w:color="000000"/>
            </w:tcBorders>
          </w:tcPr>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 ограниченными возможностями здоровья)</w:t>
            </w:r>
          </w:p>
        </w:tc>
        <w:tc>
          <w:tcPr>
            <w:tcW w:w="1780" w:type="dxa"/>
            <w:tcBorders>
              <w:top w:val="single" w:sz="4" w:space="0" w:color="000000"/>
              <w:left w:val="single" w:sz="4" w:space="0" w:color="000000"/>
              <w:bottom w:val="single" w:sz="4" w:space="0" w:color="000000"/>
              <w:right w:val="single" w:sz="4" w:space="0" w:color="000000"/>
            </w:tcBorders>
          </w:tcPr>
          <w:p>
            <w:pPr>
              <w:pStyle w:val="ConsPlusNormal"/>
              <w:ind w:firstLine="623"/>
              <w:jc w:val="both"/>
              <w:rPr>
                <w:rFonts w:ascii="Times New Roman" w:hAnsi="Times New Roman" w:cs="Times New Roman"/>
                <w:sz w:val="28"/>
                <w:szCs w:val="28"/>
              </w:rPr>
            </w:pPr>
            <w:r>
              <w:rPr>
                <w:rFonts w:cs="Times New Roman" w:ascii="Times New Roman" w:hAnsi="Times New Roman"/>
                <w:sz w:val="28"/>
                <w:szCs w:val="28"/>
              </w:rPr>
              <w:t>11,6</w:t>
            </w:r>
          </w:p>
        </w:tc>
      </w:tr>
      <w:tr>
        <w:trPr/>
        <w:tc>
          <w:tcPr>
            <w:tcW w:w="7856" w:type="dxa"/>
            <w:tcBorders>
              <w:top w:val="single" w:sz="4" w:space="0" w:color="000000"/>
              <w:left w:val="single" w:sz="4" w:space="0" w:color="000000"/>
              <w:bottom w:val="single" w:sz="4" w:space="0" w:color="000000"/>
              <w:right w:val="single" w:sz="4" w:space="0" w:color="000000"/>
            </w:tcBorders>
          </w:tcPr>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Специалистам логопедических пунктов</w:t>
            </w:r>
          </w:p>
        </w:tc>
        <w:tc>
          <w:tcPr>
            <w:tcW w:w="1780" w:type="dxa"/>
            <w:tcBorders>
              <w:top w:val="single" w:sz="4" w:space="0" w:color="000000"/>
              <w:left w:val="single" w:sz="4" w:space="0" w:color="000000"/>
              <w:bottom w:val="single" w:sz="4" w:space="0" w:color="000000"/>
              <w:right w:val="single" w:sz="4" w:space="0" w:color="000000"/>
            </w:tcBorders>
          </w:tcPr>
          <w:p>
            <w:pPr>
              <w:pStyle w:val="ConsPlusNormal"/>
              <w:ind w:hanging="0"/>
              <w:jc w:val="center"/>
              <w:rPr>
                <w:rFonts w:ascii="Times New Roman" w:hAnsi="Times New Roman" w:cs="Times New Roman"/>
                <w:sz w:val="28"/>
                <w:szCs w:val="28"/>
              </w:rPr>
            </w:pPr>
            <w:r>
              <w:rPr>
                <w:rFonts w:cs="Times New Roman" w:ascii="Times New Roman" w:hAnsi="Times New Roman"/>
                <w:sz w:val="28"/>
                <w:szCs w:val="28"/>
              </w:rPr>
              <w:t>15,4</w:t>
            </w:r>
          </w:p>
        </w:tc>
      </w:tr>
      <w:tr>
        <w:trPr/>
        <w:tc>
          <w:tcPr>
            <w:tcW w:w="7856" w:type="dxa"/>
            <w:tcBorders>
              <w:top w:val="single" w:sz="4" w:space="0" w:color="000000"/>
              <w:left w:val="single" w:sz="4" w:space="0" w:color="000000"/>
              <w:bottom w:val="single" w:sz="4" w:space="0" w:color="000000"/>
              <w:right w:val="single" w:sz="4" w:space="0" w:color="000000"/>
            </w:tcBorders>
          </w:tcPr>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Учителям-логопедам</w:t>
            </w:r>
          </w:p>
        </w:tc>
        <w:tc>
          <w:tcPr>
            <w:tcW w:w="1780" w:type="dxa"/>
            <w:tcBorders>
              <w:top w:val="single" w:sz="4" w:space="0" w:color="000000"/>
              <w:left w:val="single" w:sz="4" w:space="0" w:color="000000"/>
              <w:bottom w:val="single" w:sz="4" w:space="0" w:color="000000"/>
              <w:right w:val="single" w:sz="4" w:space="0" w:color="000000"/>
            </w:tcBorders>
          </w:tcPr>
          <w:p>
            <w:pPr>
              <w:pStyle w:val="ConsPlusNormal"/>
              <w:ind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15,4</w:t>
            </w:r>
          </w:p>
        </w:tc>
      </w:tr>
      <w:tr>
        <w:trPr/>
        <w:tc>
          <w:tcPr>
            <w:tcW w:w="7856" w:type="dxa"/>
            <w:tcBorders>
              <w:top w:val="single" w:sz="4" w:space="0" w:color="000000"/>
              <w:left w:val="single" w:sz="4" w:space="0" w:color="000000"/>
              <w:bottom w:val="single" w:sz="4" w:space="0" w:color="000000"/>
              <w:right w:val="single" w:sz="4" w:space="0" w:color="000000"/>
            </w:tcBorders>
          </w:tcPr>
          <w:p>
            <w:pPr>
              <w:pStyle w:val="Normal"/>
              <w:jc w:val="both"/>
              <w:rPr>
                <w:i/>
                <w:i/>
                <w:sz w:val="20"/>
                <w:szCs w:val="20"/>
              </w:rPr>
            </w:pPr>
            <w:r>
              <w:rPr>
                <w:i/>
                <w:sz w:val="20"/>
                <w:szCs w:val="20"/>
              </w:rPr>
              <w:t>другие компенсационные выплаты (в соответствии с постановлениями Правительства Республики Башкортостан от 27 октября 2008 года № 374, Администрации муниципального района (городского округа)__________ )</w:t>
            </w:r>
          </w:p>
        </w:tc>
        <w:tc>
          <w:tcPr>
            <w:tcW w:w="1780"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tc>
      </w:tr>
    </w:tbl>
    <w:p>
      <w:pPr>
        <w:pStyle w:val="Normal"/>
        <w:ind w:firstLine="708"/>
        <w:jc w:val="both"/>
        <w:rPr>
          <w:sz w:val="28"/>
          <w:szCs w:val="28"/>
        </w:rPr>
      </w:pPr>
      <w:r>
        <w:rPr>
          <w:sz w:val="28"/>
          <w:szCs w:val="28"/>
        </w:rPr>
      </w:r>
    </w:p>
    <w:p>
      <w:pPr>
        <w:pStyle w:val="Normal"/>
        <w:ind w:firstLine="708"/>
        <w:jc w:val="both"/>
        <w:rPr>
          <w:sz w:val="28"/>
          <w:szCs w:val="28"/>
        </w:rPr>
      </w:pPr>
      <w:r>
        <w:rPr>
          <w:sz w:val="28"/>
          <w:szCs w:val="28"/>
        </w:rPr>
        <w:t xml:space="preserve">5.2.8. При наличии оснований для применения двух и более компенсационных выплат доплата определяется по каждому основанию к оплате за фактическую нагрузку. </w:t>
      </w:r>
    </w:p>
    <w:p>
      <w:pPr>
        <w:pStyle w:val="Normal"/>
        <w:ind w:firstLine="708"/>
        <w:jc w:val="both"/>
        <w:rPr>
          <w:highlight w:val="none"/>
          <w:shd w:fill="auto" w:val="clear"/>
        </w:rPr>
      </w:pPr>
      <w:r>
        <w:rPr>
          <w:sz w:val="28"/>
          <w:szCs w:val="28"/>
          <w:shd w:fill="auto" w:val="clear"/>
        </w:rPr>
        <w:t>5.2.9. Конкретный перечень работников, которым устанавливается компенсационная выплата определяется руководителем образовательного организации по согласованию с выборным органом первичной профсоюзной организации в зависимости от степени и продолжительности общения с воспитанниками, имеющими отклонения в развитии.</w:t>
      </w:r>
    </w:p>
    <w:p>
      <w:pPr>
        <w:pStyle w:val="Normal"/>
        <w:ind w:firstLine="708"/>
        <w:jc w:val="both"/>
        <w:rPr>
          <w:highlight w:val="none"/>
          <w:shd w:fill="auto" w:val="clear"/>
        </w:rPr>
      </w:pPr>
      <w:r>
        <w:rPr>
          <w:sz w:val="28"/>
          <w:szCs w:val="28"/>
          <w:shd w:fill="auto" w:val="clear"/>
        </w:rPr>
        <w:t>5.2.10. Конкретные размеры выплат, указанных в пункте 5.2.1 и 5.2.3 настоящего Положения, устанавливаются в соответствии с перечнем должностей (профессий), утверждаемым руководителем организации с учетом мнения выборного органа первичной профсоюзной организации.</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5.2.11. Выплаты компенсационного характера за выполнение дополнительных видов работ, непосредственно связанных </w:t>
        <w:br/>
        <w:t>с образовательной деятельностью, не входящих в должностные обязанности педагогических работников устанавливаются в следующих размерах:</w:t>
      </w:r>
    </w:p>
    <w:p>
      <w:pPr>
        <w:pStyle w:val="ConsPlusNormal"/>
        <w:ind w:firstLine="709"/>
        <w:jc w:val="both"/>
        <w:rPr>
          <w:rFonts w:ascii="Times New Roman" w:hAnsi="Times New Roman" w:eastAsia="Calibri" w:cs="Times New Roman"/>
          <w:sz w:val="30"/>
          <w:szCs w:val="30"/>
        </w:rPr>
      </w:pPr>
      <w:r>
        <w:rPr>
          <w:rFonts w:eastAsia="Calibri" w:cs="Times New Roman" w:ascii="Times New Roman" w:hAnsi="Times New Roman"/>
          <w:sz w:val="30"/>
          <w:szCs w:val="30"/>
        </w:rPr>
      </w:r>
    </w:p>
    <w:tbl>
      <w:tblPr>
        <w:tblW w:w="9525" w:type="dxa"/>
        <w:jc w:val="left"/>
        <w:tblInd w:w="129" w:type="dxa"/>
        <w:tblLayout w:type="fixed"/>
        <w:tblCellMar>
          <w:top w:w="102" w:type="dxa"/>
          <w:left w:w="62" w:type="dxa"/>
          <w:bottom w:w="102" w:type="dxa"/>
          <w:right w:w="62" w:type="dxa"/>
        </w:tblCellMar>
        <w:tblLook w:val="04a0"/>
      </w:tblPr>
      <w:tblGrid>
        <w:gridCol w:w="6945"/>
        <w:gridCol w:w="2579"/>
      </w:tblGrid>
      <w:tr>
        <w:trPr>
          <w:trHeight w:val="615" w:hRule="atLeast"/>
        </w:trPr>
        <w:tc>
          <w:tcPr>
            <w:tcW w:w="694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t>Наименование выплат*</w:t>
            </w:r>
          </w:p>
          <w:p>
            <w:pPr>
              <w:pStyle w:val="ConsPlusNormal"/>
              <w:jc w:val="both"/>
              <w:rPr>
                <w:rFonts w:ascii="Times New Roman" w:hAnsi="Times New Roman" w:eastAsia="Calibri" w:cs="Times New Roman"/>
              </w:rPr>
            </w:pPr>
            <w:r>
              <w:rPr>
                <w:rFonts w:eastAsia="Calibri" w:cs="Times New Roman" w:ascii="Times New Roman" w:hAnsi="Times New Roman"/>
                <w:i/>
              </w:rPr>
              <w:t>*данный перечень не является исчерпывающим.</w:t>
            </w:r>
            <w:r>
              <w:rPr>
                <w:rFonts w:cs="Times New Roman" w:ascii="Times New Roman" w:hAnsi="Times New Roman"/>
                <w:i/>
              </w:rPr>
              <w:t xml:space="preserve"> Организация отражает в своем Положении те виды дополнительной работы, которые, которые осуществляются в данной организации</w:t>
            </w:r>
          </w:p>
        </w:tc>
        <w:tc>
          <w:tcPr>
            <w:tcW w:w="257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8"/>
                <w:szCs w:val="28"/>
              </w:rPr>
            </w:pPr>
            <w:r>
              <w:rPr>
                <w:sz w:val="28"/>
                <w:szCs w:val="28"/>
              </w:rPr>
            </w:r>
          </w:p>
          <w:p>
            <w:pPr>
              <w:pStyle w:val="Normal"/>
              <w:tabs>
                <w:tab w:val="clear" w:pos="708"/>
                <w:tab w:val="left" w:pos="1946" w:leader="none"/>
              </w:tabs>
              <w:jc w:val="center"/>
              <w:rPr>
                <w:sz w:val="28"/>
                <w:szCs w:val="28"/>
              </w:rPr>
            </w:pPr>
            <w:r>
              <w:rPr>
                <w:sz w:val="28"/>
                <w:szCs w:val="28"/>
              </w:rPr>
              <w:t>Размер, %</w:t>
            </w:r>
          </w:p>
          <w:p>
            <w:pPr>
              <w:pStyle w:val="ConsPlusNormal"/>
              <w:jc w:val="center"/>
              <w:rPr>
                <w:rFonts w:ascii="Times New Roman" w:hAnsi="Times New Roman" w:eastAsia="Calibri" w:cs="Times New Roman"/>
                <w:sz w:val="28"/>
                <w:szCs w:val="28"/>
              </w:rPr>
            </w:pPr>
            <w:r>
              <w:rPr>
                <w:rFonts w:eastAsia="Calibri" w:cs="Times New Roman" w:ascii="Times New Roman" w:hAnsi="Times New Roman"/>
                <w:sz w:val="28"/>
                <w:szCs w:val="28"/>
              </w:rPr>
            </w:r>
          </w:p>
        </w:tc>
      </w:tr>
      <w:tr>
        <w:trPr>
          <w:trHeight w:val="615" w:hRule="atLeast"/>
        </w:trPr>
        <w:tc>
          <w:tcPr>
            <w:tcW w:w="694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Calibri"/>
                <w:sz w:val="28"/>
                <w:szCs w:val="28"/>
              </w:rPr>
            </w:pPr>
            <w:r>
              <w:rPr>
                <w:rFonts w:eastAsia="Calibri"/>
                <w:sz w:val="28"/>
                <w:szCs w:val="28"/>
              </w:rPr>
              <w:t xml:space="preserve">Руководство методическим объединением, цикловой, методической комиссией в образовательной организации педагогическими работниками, </w:t>
              <w:br/>
              <w:t>не имеющими квалификационной категории “педагог-методист”</w:t>
            </w:r>
          </w:p>
        </w:tc>
        <w:tc>
          <w:tcPr>
            <w:tcW w:w="2579" w:type="dxa"/>
            <w:tcBorders>
              <w:top w:val="single" w:sz="4" w:space="0" w:color="000000"/>
              <w:left w:val="single" w:sz="4" w:space="0" w:color="000000"/>
              <w:bottom w:val="single" w:sz="4" w:space="0" w:color="000000"/>
              <w:right w:val="single" w:sz="4" w:space="0" w:color="000000"/>
            </w:tcBorders>
          </w:tcPr>
          <w:p>
            <w:pPr>
              <w:pStyle w:val="ConsPlusNormal"/>
              <w:ind w:firstLine="84"/>
              <w:jc w:val="center"/>
              <w:rPr>
                <w:rFonts w:ascii="Times New Roman" w:hAnsi="Times New Roman" w:eastAsia="Calibri" w:cs="Times New Roman"/>
                <w:sz w:val="28"/>
                <w:szCs w:val="28"/>
              </w:rPr>
            </w:pPr>
            <w:r>
              <w:rPr>
                <w:rFonts w:eastAsia="Calibri" w:cs="Times New Roman" w:ascii="Times New Roman" w:hAnsi="Times New Roman"/>
                <w:sz w:val="28"/>
                <w:szCs w:val="28"/>
              </w:rPr>
              <w:t>11,6</w:t>
            </w:r>
          </w:p>
          <w:p>
            <w:pPr>
              <w:pStyle w:val="ConsPlusNormal"/>
              <w:ind w:firstLine="367"/>
              <w:jc w:val="center"/>
              <w:rPr>
                <w:rFonts w:ascii="Times New Roman" w:hAnsi="Times New Roman" w:eastAsia="Calibri" w:cs="Times New Roman"/>
                <w:sz w:val="28"/>
                <w:szCs w:val="28"/>
              </w:rPr>
            </w:pPr>
            <w:r>
              <w:rPr>
                <w:rFonts w:eastAsia="Calibri" w:cs="Times New Roman" w:ascii="Times New Roman" w:hAnsi="Times New Roman"/>
                <w:sz w:val="28"/>
                <w:szCs w:val="28"/>
              </w:rPr>
              <w:t>(от ставки заработной платы, оклада)</w:t>
            </w:r>
          </w:p>
          <w:p>
            <w:pPr>
              <w:pStyle w:val="Normal"/>
              <w:jc w:val="center"/>
              <w:rPr>
                <w:rFonts w:eastAsia="Calibri"/>
                <w:sz w:val="28"/>
                <w:szCs w:val="28"/>
              </w:rPr>
            </w:pPr>
            <w:r>
              <w:rPr>
                <w:rFonts w:eastAsia="Calibri"/>
                <w:sz w:val="28"/>
                <w:szCs w:val="28"/>
              </w:rPr>
            </w:r>
          </w:p>
        </w:tc>
      </w:tr>
      <w:tr>
        <w:trPr>
          <w:trHeight w:val="615" w:hRule="atLeast"/>
        </w:trPr>
        <w:tc>
          <w:tcPr>
            <w:tcW w:w="694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Calibri"/>
                <w:sz w:val="28"/>
                <w:szCs w:val="28"/>
              </w:rPr>
            </w:pPr>
            <w:r>
              <w:rPr>
                <w:rFonts w:eastAsia="Calibri"/>
                <w:sz w:val="28"/>
                <w:szCs w:val="28"/>
              </w:rPr>
              <w:t xml:space="preserve">Руководство методическим объединением, цикловой, методической комиссией в образовательной организации педагогическими работниками, </w:t>
              <w:br/>
              <w:t>имеющими квалификационную категорию “педагог-методист”</w:t>
            </w:r>
          </w:p>
        </w:tc>
        <w:tc>
          <w:tcPr>
            <w:tcW w:w="2579" w:type="dxa"/>
            <w:tcBorders>
              <w:top w:val="single" w:sz="4" w:space="0" w:color="000000"/>
              <w:left w:val="single" w:sz="4" w:space="0" w:color="000000"/>
              <w:bottom w:val="single" w:sz="4" w:space="0" w:color="000000"/>
              <w:right w:val="single" w:sz="4" w:space="0" w:color="000000"/>
            </w:tcBorders>
          </w:tcPr>
          <w:p>
            <w:pPr>
              <w:pStyle w:val="ConsPlusNormal"/>
              <w:ind w:firstLine="84"/>
              <w:jc w:val="center"/>
              <w:rPr>
                <w:rFonts w:ascii="Times New Roman" w:hAnsi="Times New Roman" w:eastAsia="Calibri" w:cs="Times New Roman"/>
                <w:sz w:val="28"/>
                <w:szCs w:val="28"/>
              </w:rPr>
            </w:pPr>
            <w:r>
              <w:rPr>
                <w:rFonts w:eastAsia="Calibri" w:cs="Times New Roman" w:ascii="Times New Roman" w:hAnsi="Times New Roman"/>
                <w:sz w:val="28"/>
                <w:szCs w:val="28"/>
              </w:rPr>
              <w:t>15,4</w:t>
            </w:r>
          </w:p>
          <w:p>
            <w:pPr>
              <w:pStyle w:val="ConsPlusNormal"/>
              <w:ind w:hanging="0"/>
              <w:jc w:val="center"/>
              <w:rPr>
                <w:rFonts w:ascii="Times New Roman" w:hAnsi="Times New Roman" w:eastAsia="Calibri" w:cs="Times New Roman"/>
                <w:sz w:val="28"/>
                <w:szCs w:val="28"/>
              </w:rPr>
            </w:pPr>
            <w:r>
              <w:rPr>
                <w:rFonts w:eastAsia="Calibri" w:cs="Times New Roman" w:ascii="Times New Roman" w:hAnsi="Times New Roman"/>
                <w:sz w:val="28"/>
                <w:szCs w:val="28"/>
              </w:rPr>
              <w:t>(от ставки заработной платы, оклада)</w:t>
            </w:r>
          </w:p>
        </w:tc>
      </w:tr>
      <w:tr>
        <w:trPr>
          <w:trHeight w:val="238" w:hRule="atLeast"/>
        </w:trPr>
        <w:tc>
          <w:tcPr>
            <w:tcW w:w="694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Calibri"/>
                <w:sz w:val="28"/>
                <w:szCs w:val="28"/>
              </w:rPr>
            </w:pPr>
            <w:r>
              <w:rPr>
                <w:rFonts w:eastAsia="Calibri"/>
                <w:sz w:val="28"/>
                <w:szCs w:val="28"/>
              </w:rPr>
              <w:t>Выполнение дополнительной работы, связанной с наставничеством, педагогическими работниками, не имеющими квалификационной категории “педагог-наставник”</w:t>
            </w:r>
          </w:p>
        </w:tc>
        <w:tc>
          <w:tcPr>
            <w:tcW w:w="2579" w:type="dxa"/>
            <w:tcBorders>
              <w:top w:val="single" w:sz="4" w:space="0" w:color="000000"/>
              <w:left w:val="single" w:sz="4" w:space="0" w:color="000000"/>
              <w:bottom w:val="single" w:sz="4" w:space="0" w:color="000000"/>
              <w:right w:val="single" w:sz="4" w:space="0" w:color="000000"/>
            </w:tcBorders>
          </w:tcPr>
          <w:p>
            <w:pPr>
              <w:pStyle w:val="ConsPlusNormal"/>
              <w:ind w:firstLine="226"/>
              <w:jc w:val="center"/>
              <w:rPr>
                <w:rFonts w:ascii="Times New Roman" w:hAnsi="Times New Roman" w:eastAsia="Calibri" w:cs="Times New Roman"/>
                <w:sz w:val="28"/>
                <w:szCs w:val="28"/>
              </w:rPr>
            </w:pPr>
            <w:r>
              <w:rPr>
                <w:rFonts w:eastAsia="Calibri" w:cs="Times New Roman" w:ascii="Times New Roman" w:hAnsi="Times New Roman"/>
                <w:sz w:val="28"/>
                <w:szCs w:val="28"/>
              </w:rPr>
              <w:t>11,6</w:t>
            </w:r>
          </w:p>
          <w:p>
            <w:pPr>
              <w:pStyle w:val="ConsPlusNormal"/>
              <w:ind w:hanging="0"/>
              <w:jc w:val="center"/>
              <w:rPr>
                <w:rFonts w:ascii="Times New Roman" w:hAnsi="Times New Roman" w:eastAsia="Calibri" w:cs="Times New Roman"/>
                <w:sz w:val="28"/>
                <w:szCs w:val="28"/>
              </w:rPr>
            </w:pPr>
            <w:r>
              <w:rPr>
                <w:rFonts w:eastAsia="Calibri" w:cs="Times New Roman" w:ascii="Times New Roman" w:hAnsi="Times New Roman"/>
                <w:sz w:val="28"/>
                <w:szCs w:val="28"/>
              </w:rPr>
              <w:t>(от ставки заработной платы, оклада)</w:t>
            </w:r>
          </w:p>
        </w:tc>
      </w:tr>
      <w:tr>
        <w:trPr>
          <w:trHeight w:val="615" w:hRule="atLeast"/>
        </w:trPr>
        <w:tc>
          <w:tcPr>
            <w:tcW w:w="6945" w:type="dxa"/>
            <w:tcBorders>
              <w:top w:val="single" w:sz="4" w:space="0" w:color="000000"/>
              <w:left w:val="single" w:sz="4" w:space="0" w:color="000000"/>
              <w:bottom w:val="single" w:sz="4" w:space="0" w:color="000000"/>
              <w:right w:val="single" w:sz="4" w:space="0" w:color="000000"/>
            </w:tcBorders>
          </w:tcPr>
          <w:p>
            <w:pPr>
              <w:pStyle w:val="Normal"/>
              <w:rPr>
                <w:rFonts w:eastAsia="Calibri"/>
                <w:sz w:val="28"/>
                <w:szCs w:val="28"/>
              </w:rPr>
            </w:pPr>
            <w:r>
              <w:rPr>
                <w:rFonts w:eastAsia="Calibri"/>
                <w:sz w:val="28"/>
                <w:szCs w:val="28"/>
              </w:rPr>
              <w:t>Выполнение дополнительной работы, связанной с наставничеством, педагогическими работниками, имеющими квалификационной категории “педагог-наставник”</w:t>
            </w:r>
          </w:p>
        </w:tc>
        <w:tc>
          <w:tcPr>
            <w:tcW w:w="2579" w:type="dxa"/>
            <w:tcBorders>
              <w:top w:val="single" w:sz="4" w:space="0" w:color="000000"/>
              <w:left w:val="single" w:sz="4" w:space="0" w:color="000000"/>
              <w:bottom w:val="single" w:sz="4" w:space="0" w:color="000000"/>
              <w:right w:val="single" w:sz="4" w:space="0" w:color="000000"/>
            </w:tcBorders>
          </w:tcPr>
          <w:p>
            <w:pPr>
              <w:pStyle w:val="ConsPlusNormal"/>
              <w:ind w:firstLine="226"/>
              <w:jc w:val="center"/>
              <w:rPr>
                <w:rFonts w:ascii="Times New Roman" w:hAnsi="Times New Roman" w:eastAsia="Calibri" w:cs="Times New Roman"/>
                <w:sz w:val="28"/>
                <w:szCs w:val="28"/>
              </w:rPr>
            </w:pPr>
            <w:r>
              <w:rPr>
                <w:rFonts w:eastAsia="Calibri" w:cs="Times New Roman" w:ascii="Times New Roman" w:hAnsi="Times New Roman"/>
                <w:sz w:val="28"/>
                <w:szCs w:val="28"/>
              </w:rPr>
              <w:t>15,4</w:t>
            </w:r>
          </w:p>
          <w:p>
            <w:pPr>
              <w:pStyle w:val="ConsPlusNormal"/>
              <w:ind w:hanging="58"/>
              <w:jc w:val="center"/>
              <w:rPr>
                <w:rFonts w:ascii="Times New Roman" w:hAnsi="Times New Roman" w:eastAsia="Calibri" w:cs="Times New Roman"/>
                <w:sz w:val="28"/>
                <w:szCs w:val="28"/>
              </w:rPr>
            </w:pPr>
            <w:r>
              <w:rPr>
                <w:rFonts w:eastAsia="Calibri" w:cs="Times New Roman" w:ascii="Times New Roman" w:hAnsi="Times New Roman"/>
                <w:sz w:val="28"/>
                <w:szCs w:val="28"/>
              </w:rPr>
              <w:t>(от ставки заработной платы, оклада)</w:t>
            </w:r>
          </w:p>
        </w:tc>
      </w:tr>
      <w:tr>
        <w:trPr>
          <w:trHeight w:val="615" w:hRule="atLeast"/>
        </w:trPr>
        <w:tc>
          <w:tcPr>
            <w:tcW w:w="6945" w:type="dxa"/>
            <w:tcBorders>
              <w:top w:val="single" w:sz="4" w:space="0" w:color="000000"/>
              <w:left w:val="single" w:sz="4" w:space="0" w:color="000000"/>
              <w:bottom w:val="single" w:sz="4" w:space="0" w:color="000000"/>
              <w:right w:val="single" w:sz="4" w:space="0" w:color="000000"/>
            </w:tcBorders>
          </w:tcPr>
          <w:p>
            <w:pPr>
              <w:pStyle w:val="BodyTextIndent"/>
              <w:spacing w:before="0" w:after="0"/>
              <w:ind w:left="0"/>
              <w:jc w:val="both"/>
              <w:rPr>
                <w:sz w:val="28"/>
                <w:szCs w:val="28"/>
              </w:rPr>
            </w:pPr>
            <w:r>
              <w:rPr>
                <w:iCs/>
                <w:sz w:val="28"/>
                <w:szCs w:val="28"/>
              </w:rPr>
              <w:t>Н</w:t>
            </w:r>
            <w:r>
              <w:rPr>
                <w:sz w:val="28"/>
                <w:szCs w:val="28"/>
              </w:rPr>
              <w:t>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(младшим воспитателям, помощникам воспитателей)</w:t>
            </w:r>
          </w:p>
        </w:tc>
        <w:tc>
          <w:tcPr>
            <w:tcW w:w="2579" w:type="dxa"/>
            <w:tcBorders>
              <w:top w:val="single" w:sz="4" w:space="0" w:color="000000"/>
              <w:left w:val="single" w:sz="4" w:space="0" w:color="000000"/>
              <w:bottom w:val="single" w:sz="4" w:space="0" w:color="000000"/>
              <w:right w:val="single" w:sz="4" w:space="0" w:color="000000"/>
            </w:tcBorders>
          </w:tcPr>
          <w:p>
            <w:pPr>
              <w:pStyle w:val="ConsPlusNormal"/>
              <w:ind w:firstLine="226"/>
              <w:jc w:val="center"/>
              <w:rPr>
                <w:rFonts w:ascii="Times New Roman" w:hAnsi="Times New Roman" w:eastAsia="Calibri" w:cs="Times New Roman"/>
                <w:sz w:val="28"/>
                <w:szCs w:val="28"/>
              </w:rPr>
            </w:pPr>
            <w:r>
              <w:rPr>
                <w:rFonts w:eastAsia="Calibri" w:cs="Times New Roman" w:ascii="Times New Roman" w:hAnsi="Times New Roman"/>
                <w:sz w:val="28"/>
                <w:szCs w:val="28"/>
              </w:rPr>
              <w:t>23,1</w:t>
            </w:r>
          </w:p>
          <w:p>
            <w:pPr>
              <w:pStyle w:val="ConsPlusNormal"/>
              <w:ind w:firstLine="226"/>
              <w:jc w:val="center"/>
              <w:rPr>
                <w:rFonts w:ascii="Times New Roman" w:hAnsi="Times New Roman" w:eastAsia="Calibri" w:cs="Times New Roman"/>
                <w:sz w:val="28"/>
                <w:szCs w:val="28"/>
              </w:rPr>
            </w:pPr>
            <w:r>
              <w:rPr>
                <w:rFonts w:eastAsia="Calibri" w:cs="Times New Roman" w:ascii="Times New Roman" w:hAnsi="Times New Roman"/>
                <w:sz w:val="28"/>
                <w:szCs w:val="28"/>
              </w:rPr>
              <w:t>(от ставки заработной платы, оклада)</w:t>
            </w:r>
          </w:p>
        </w:tc>
      </w:tr>
    </w:tbl>
    <w:p>
      <w:pPr>
        <w:pStyle w:val="ConsPlusNonformat"/>
        <w:ind w:firstLine="567"/>
        <w:jc w:val="both"/>
        <w:rPr>
          <w:rFonts w:ascii="Times New Roman" w:hAnsi="Times New Roman" w:cs="Times New Roman"/>
          <w:sz w:val="28"/>
          <w:szCs w:val="28"/>
        </w:rPr>
      </w:pPr>
      <w:r>
        <w:rPr>
          <w:rFonts w:cs="Times New Roman" w:ascii="Times New Roman" w:hAnsi="Times New Roman"/>
          <w:sz w:val="28"/>
          <w:szCs w:val="28"/>
        </w:rPr>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5.2.12. При наличии оснований для применения двух и более выплат компенсационного характера за выполнение дополнительных видов работ, не входящих в должностные обязанности педагогических работников, выплата определяется по каждому основанию.</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5.2.13.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 xml:space="preserve">5.2.14. Выплаты компенсационного характера рассчитываются пропорционально отработанному времени. </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 xml:space="preserve">5.2.15. Размеры и условия осуществления выплат компенсационного характера конкретизируются в трудовых договорах работников и (или) </w:t>
        <w:br/>
        <w:t>в дополнительных соглашениях к ним.</w:t>
      </w:r>
    </w:p>
    <w:p>
      <w:pPr>
        <w:pStyle w:val="ConsPlusNormal"/>
        <w:ind w:hanging="0"/>
        <w:jc w:val="both"/>
        <w:rPr>
          <w:rFonts w:ascii="Times New Roman" w:hAnsi="Times New Roman" w:cs="Times New Roman"/>
          <w:strike/>
          <w:sz w:val="28"/>
          <w:szCs w:val="28"/>
        </w:rPr>
      </w:pPr>
      <w:r>
        <w:rPr>
          <w:rFonts w:cs="Times New Roman" w:ascii="Times New Roman" w:hAnsi="Times New Roman"/>
          <w:strike/>
          <w:sz w:val="28"/>
          <w:szCs w:val="28"/>
        </w:rPr>
      </w:r>
    </w:p>
    <w:p>
      <w:pPr>
        <w:pStyle w:val="BodyTextIndent3"/>
        <w:jc w:val="center"/>
        <w:rPr>
          <w:b/>
          <w:sz w:val="28"/>
          <w:szCs w:val="28"/>
        </w:rPr>
      </w:pPr>
      <w:r>
        <w:rPr>
          <w:b/>
          <w:sz w:val="28"/>
          <w:szCs w:val="28"/>
        </w:rPr>
        <w:t>6.</w:t>
        <w:tab/>
        <w:t xml:space="preserve">Порядок и условия установления выплат стимулирующего характера </w:t>
      </w:r>
    </w:p>
    <w:p>
      <w:pPr>
        <w:pStyle w:val="Normal"/>
        <w:ind w:firstLine="777" w:left="-57"/>
        <w:jc w:val="both"/>
        <w:rPr>
          <w:sz w:val="28"/>
          <w:szCs w:val="28"/>
        </w:rPr>
      </w:pPr>
      <w:r>
        <w:rPr>
          <w:sz w:val="28"/>
          <w:szCs w:val="28"/>
        </w:rPr>
        <w:t xml:space="preserve">6.1. Стимулирующие выплаты устанавливаются в пределах выделенных  бюджетных средств на оплату труда работников, а также средств, полученных от приносящей доход деятельности, направленных на оплату труда работников, по решению руководителя организации с учетом мнения выборного органа первичной профсоюзной организации. </w:t>
      </w:r>
    </w:p>
    <w:p>
      <w:pPr>
        <w:pStyle w:val="Style20"/>
        <w:ind w:firstLine="720"/>
        <w:jc w:val="both"/>
        <w:rPr>
          <w:sz w:val="28"/>
          <w:szCs w:val="28"/>
        </w:rPr>
      </w:pPr>
      <w:r>
        <w:rPr>
          <w:sz w:val="28"/>
          <w:szCs w:val="28"/>
        </w:rPr>
        <w:t xml:space="preserve">6.2. Работникам устанавливаются следующие выплаты стимулирующего характера: </w:t>
      </w:r>
    </w:p>
    <w:p>
      <w:pPr>
        <w:pStyle w:val="Style20"/>
        <w:ind w:firstLine="567"/>
        <w:jc w:val="both"/>
        <w:rPr>
          <w:sz w:val="28"/>
          <w:szCs w:val="28"/>
        </w:rPr>
      </w:pPr>
      <w:r>
        <w:rPr>
          <w:sz w:val="28"/>
          <w:szCs w:val="28"/>
        </w:rPr>
        <w:t xml:space="preserve">  </w:t>
      </w:r>
      <w:r>
        <w:rPr>
          <w:sz w:val="28"/>
          <w:szCs w:val="28"/>
        </w:rPr>
        <w:t>6.2.1. Выплаты по повышающему коэффициенту педагогическим работникам к оплате за фактическую нагрузку за наличие квалификационной категории или стаж педагогической работы, в целях стимулирования к качественному результату труда, повышению профессиональной квалификации и компетентности в следующих размерах:</w:t>
      </w:r>
    </w:p>
    <w:p>
      <w:pPr>
        <w:pStyle w:val="Style20"/>
        <w:ind w:firstLine="720"/>
        <w:jc w:val="both"/>
        <w:rPr>
          <w:sz w:val="28"/>
          <w:szCs w:val="28"/>
        </w:rPr>
      </w:pPr>
      <w:r>
        <w:rPr>
          <w:sz w:val="28"/>
          <w:szCs w:val="28"/>
        </w:rPr>
      </w:r>
    </w:p>
    <w:tbl>
      <w:tblPr>
        <w:tblW w:w="9645" w:type="dxa"/>
        <w:jc w:val="left"/>
        <w:tblInd w:w="115" w:type="dxa"/>
        <w:tblLayout w:type="fixed"/>
        <w:tblCellMar>
          <w:top w:w="0" w:type="dxa"/>
          <w:left w:w="108" w:type="dxa"/>
          <w:bottom w:w="0" w:type="dxa"/>
          <w:right w:w="108" w:type="dxa"/>
        </w:tblCellMar>
        <w:tblLook w:val="01e0"/>
      </w:tblPr>
      <w:tblGrid>
        <w:gridCol w:w="6405"/>
        <w:gridCol w:w="3240"/>
      </w:tblGrid>
      <w:tr>
        <w:trPr>
          <w:trHeight w:val="965" w:hRule="atLeast"/>
        </w:trPr>
        <w:tc>
          <w:tcPr>
            <w:tcW w:w="6405"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80"/>
              <w:jc w:val="center"/>
              <w:rPr>
                <w:sz w:val="28"/>
                <w:szCs w:val="28"/>
              </w:rPr>
            </w:pPr>
            <w:r>
              <w:rPr>
                <w:sz w:val="28"/>
                <w:szCs w:val="28"/>
              </w:rPr>
            </w:r>
          </w:p>
          <w:p>
            <w:pPr>
              <w:pStyle w:val="Normal"/>
              <w:spacing w:lineRule="exact" w:line="280"/>
              <w:jc w:val="center"/>
              <w:rPr>
                <w:sz w:val="28"/>
                <w:szCs w:val="28"/>
              </w:rPr>
            </w:pPr>
            <w:r>
              <w:rPr>
                <w:sz w:val="28"/>
                <w:szCs w:val="28"/>
              </w:rPr>
              <w:t>Квалификационная категория, стаж педагогической работы</w:t>
            </w:r>
          </w:p>
          <w:p>
            <w:pPr>
              <w:pStyle w:val="Normal"/>
              <w:spacing w:lineRule="exact" w:line="280"/>
              <w:jc w:val="center"/>
              <w:rPr>
                <w:sz w:val="28"/>
                <w:szCs w:val="28"/>
              </w:rPr>
            </w:pPr>
            <w:r>
              <w:rPr>
                <w:sz w:val="28"/>
                <w:szCs w:val="28"/>
              </w:rPr>
            </w:r>
          </w:p>
        </w:tc>
        <w:tc>
          <w:tcPr>
            <w:tcW w:w="324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80"/>
              <w:jc w:val="center"/>
              <w:rPr>
                <w:sz w:val="28"/>
                <w:szCs w:val="28"/>
              </w:rPr>
            </w:pPr>
            <w:r>
              <w:rPr>
                <w:sz w:val="28"/>
                <w:szCs w:val="28"/>
              </w:rPr>
              <w:t>Повышающий коэффициент</w:t>
            </w:r>
          </w:p>
        </w:tc>
      </w:tr>
      <w:tr>
        <w:trPr>
          <w:trHeight w:val="393" w:hRule="atLeast"/>
        </w:trPr>
        <w:tc>
          <w:tcPr>
            <w:tcW w:w="6405"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40"/>
              <w:rPr>
                <w:sz w:val="28"/>
                <w:szCs w:val="28"/>
              </w:rPr>
            </w:pPr>
            <w:r>
              <w:rPr>
                <w:sz w:val="28"/>
                <w:szCs w:val="28"/>
              </w:rPr>
              <w:t>Первая квалификационная категория</w:t>
            </w:r>
          </w:p>
        </w:tc>
        <w:tc>
          <w:tcPr>
            <w:tcW w:w="324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80" w:before="40" w:after="40"/>
              <w:jc w:val="center"/>
              <w:rPr>
                <w:sz w:val="28"/>
                <w:szCs w:val="28"/>
              </w:rPr>
            </w:pPr>
            <w:r>
              <w:rPr>
                <w:sz w:val="28"/>
                <w:szCs w:val="28"/>
              </w:rPr>
              <w:t>0,27</w:t>
            </w:r>
          </w:p>
        </w:tc>
      </w:tr>
      <w:tr>
        <w:trPr>
          <w:trHeight w:val="357" w:hRule="atLeast"/>
        </w:trPr>
        <w:tc>
          <w:tcPr>
            <w:tcW w:w="6405"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40"/>
              <w:rPr>
                <w:sz w:val="28"/>
                <w:szCs w:val="28"/>
              </w:rPr>
            </w:pPr>
            <w:r>
              <w:rPr>
                <w:sz w:val="28"/>
                <w:szCs w:val="28"/>
              </w:rPr>
            </w:r>
          </w:p>
          <w:p>
            <w:pPr>
              <w:pStyle w:val="Normal"/>
              <w:spacing w:lineRule="exact" w:line="240"/>
              <w:rPr>
                <w:sz w:val="28"/>
                <w:szCs w:val="28"/>
              </w:rPr>
            </w:pPr>
            <w:r>
              <w:rPr>
                <w:sz w:val="28"/>
                <w:szCs w:val="28"/>
              </w:rPr>
              <w:t>Высшая квалификационная категория</w:t>
            </w:r>
          </w:p>
        </w:tc>
        <w:tc>
          <w:tcPr>
            <w:tcW w:w="324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80" w:before="40" w:after="40"/>
              <w:jc w:val="center"/>
              <w:rPr>
                <w:sz w:val="28"/>
                <w:szCs w:val="28"/>
              </w:rPr>
            </w:pPr>
            <w:r>
              <w:rPr>
                <w:sz w:val="28"/>
                <w:szCs w:val="28"/>
              </w:rPr>
              <w:t>0,424</w:t>
            </w:r>
          </w:p>
        </w:tc>
      </w:tr>
      <w:tr>
        <w:trPr>
          <w:trHeight w:val="397" w:hRule="atLeast"/>
        </w:trPr>
        <w:tc>
          <w:tcPr>
            <w:tcW w:w="6405"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40"/>
              <w:rPr>
                <w:sz w:val="28"/>
                <w:szCs w:val="28"/>
              </w:rPr>
            </w:pPr>
            <w:r>
              <w:rPr>
                <w:sz w:val="28"/>
                <w:szCs w:val="28"/>
              </w:rPr>
            </w:r>
          </w:p>
          <w:p>
            <w:pPr>
              <w:pStyle w:val="Normal"/>
              <w:spacing w:lineRule="exact" w:line="240"/>
              <w:rPr>
                <w:sz w:val="28"/>
                <w:szCs w:val="28"/>
              </w:rPr>
            </w:pPr>
            <w:r>
              <w:rPr>
                <w:sz w:val="28"/>
                <w:szCs w:val="28"/>
              </w:rPr>
              <w:t>Стаж педагогической работы от 2 до 5 лет</w:t>
            </w:r>
          </w:p>
        </w:tc>
        <w:tc>
          <w:tcPr>
            <w:tcW w:w="324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80" w:before="40" w:after="40"/>
              <w:jc w:val="center"/>
              <w:rPr>
                <w:sz w:val="28"/>
                <w:szCs w:val="28"/>
              </w:rPr>
            </w:pPr>
            <w:r>
              <w:rPr>
                <w:sz w:val="28"/>
                <w:szCs w:val="28"/>
              </w:rPr>
              <w:t>0,039</w:t>
            </w:r>
          </w:p>
        </w:tc>
      </w:tr>
      <w:tr>
        <w:trPr>
          <w:trHeight w:val="561" w:hRule="atLeast"/>
        </w:trPr>
        <w:tc>
          <w:tcPr>
            <w:tcW w:w="6405"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40"/>
              <w:rPr>
                <w:sz w:val="28"/>
                <w:szCs w:val="28"/>
              </w:rPr>
            </w:pPr>
            <w:r>
              <w:rPr>
                <w:sz w:val="28"/>
                <w:szCs w:val="28"/>
              </w:rPr>
            </w:r>
          </w:p>
          <w:p>
            <w:pPr>
              <w:pStyle w:val="Normal"/>
              <w:spacing w:lineRule="exact" w:line="240"/>
              <w:rPr>
                <w:sz w:val="28"/>
                <w:szCs w:val="28"/>
              </w:rPr>
            </w:pPr>
            <w:r>
              <w:rPr>
                <w:sz w:val="28"/>
                <w:szCs w:val="28"/>
              </w:rPr>
              <w:t>Стаж педагогической работы от 5 до 10 лет</w:t>
            </w:r>
          </w:p>
        </w:tc>
        <w:tc>
          <w:tcPr>
            <w:tcW w:w="324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80" w:before="40" w:after="40"/>
              <w:jc w:val="center"/>
              <w:rPr>
                <w:sz w:val="28"/>
                <w:szCs w:val="28"/>
              </w:rPr>
            </w:pPr>
            <w:r>
              <w:rPr>
                <w:sz w:val="28"/>
                <w:szCs w:val="28"/>
              </w:rPr>
              <w:t>0,077</w:t>
            </w:r>
          </w:p>
        </w:tc>
      </w:tr>
      <w:tr>
        <w:trPr>
          <w:trHeight w:val="412" w:hRule="atLeast"/>
        </w:trPr>
        <w:tc>
          <w:tcPr>
            <w:tcW w:w="6405"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40"/>
              <w:rPr>
                <w:sz w:val="28"/>
                <w:szCs w:val="28"/>
              </w:rPr>
            </w:pPr>
            <w:r>
              <w:rPr>
                <w:sz w:val="28"/>
                <w:szCs w:val="28"/>
              </w:rPr>
            </w:r>
          </w:p>
          <w:p>
            <w:pPr>
              <w:pStyle w:val="Normal"/>
              <w:spacing w:lineRule="exact" w:line="240"/>
              <w:rPr>
                <w:sz w:val="28"/>
                <w:szCs w:val="28"/>
              </w:rPr>
            </w:pPr>
            <w:r>
              <w:rPr>
                <w:sz w:val="28"/>
                <w:szCs w:val="28"/>
              </w:rPr>
              <w:t>Стаж педагогической работы от 10 до 20 лет</w:t>
            </w:r>
          </w:p>
        </w:tc>
        <w:tc>
          <w:tcPr>
            <w:tcW w:w="324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80" w:before="40" w:after="40"/>
              <w:jc w:val="center"/>
              <w:rPr>
                <w:sz w:val="28"/>
                <w:szCs w:val="28"/>
              </w:rPr>
            </w:pPr>
            <w:r>
              <w:rPr>
                <w:sz w:val="28"/>
                <w:szCs w:val="28"/>
              </w:rPr>
              <w:t>0,154</w:t>
            </w:r>
          </w:p>
        </w:tc>
      </w:tr>
      <w:tr>
        <w:trPr/>
        <w:tc>
          <w:tcPr>
            <w:tcW w:w="6405"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40"/>
              <w:rPr>
                <w:sz w:val="28"/>
                <w:szCs w:val="28"/>
              </w:rPr>
            </w:pPr>
            <w:r>
              <w:rPr>
                <w:sz w:val="28"/>
                <w:szCs w:val="28"/>
              </w:rPr>
              <w:t>Стаж педагогической работы свыше 20 лет</w:t>
            </w:r>
          </w:p>
        </w:tc>
        <w:tc>
          <w:tcPr>
            <w:tcW w:w="3240" w:type="dxa"/>
            <w:tcBorders>
              <w:top w:val="single" w:sz="4" w:space="0" w:color="000000"/>
              <w:left w:val="single" w:sz="4" w:space="0" w:color="000000"/>
              <w:bottom w:val="single" w:sz="4" w:space="0" w:color="000000"/>
              <w:right w:val="single" w:sz="4" w:space="0" w:color="000000"/>
            </w:tcBorders>
            <w:vAlign w:val="center"/>
          </w:tcPr>
          <w:p>
            <w:pPr>
              <w:pStyle w:val="Normal"/>
              <w:spacing w:lineRule="exact" w:line="280" w:before="40" w:after="40"/>
              <w:jc w:val="center"/>
              <w:rPr>
                <w:sz w:val="28"/>
                <w:szCs w:val="28"/>
              </w:rPr>
            </w:pPr>
            <w:r>
              <w:rPr>
                <w:sz w:val="28"/>
                <w:szCs w:val="28"/>
              </w:rPr>
              <w:t>0,193</w:t>
            </w:r>
          </w:p>
        </w:tc>
      </w:tr>
    </w:tbl>
    <w:p>
      <w:pPr>
        <w:pStyle w:val="Normal"/>
        <w:tabs>
          <w:tab w:val="clear" w:pos="708"/>
          <w:tab w:val="left" w:pos="993" w:leader="none"/>
        </w:tabs>
        <w:ind w:hanging="0"/>
        <w:jc w:val="both"/>
        <w:rPr>
          <w:sz w:val="28"/>
          <w:szCs w:val="28"/>
        </w:rPr>
      </w:pPr>
      <w:r>
        <w:rPr>
          <w:sz w:val="28"/>
          <w:szCs w:val="28"/>
        </w:rPr>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6.2.2. Ежемесячная стимулирующая надбавка педагогическим работникам – молодым специалистам в размере 3450 рублей пропорционально объему педагогической нагрузки, отработанному времени.</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(независимо от профиля обучения) по имеющим государственную аккредитацию образовательным программам (в том числе непедагогического профиля) и впервые принятое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К уважительным причинам пропуска срока трудоустройства для получения ежемесячной стимулирующей надбавки относятся:</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 временная нетрудоспособность, подтвержденная документально; </w:t>
        <w:tab/>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 призыв на срочную военную службу или направление на заменяющую ее альтернативную гражданскую службу; </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 обучение в очной аспирантуре, магистратуре сроком не более трех лет;</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 отпуск по беременности и родам, отпуск по уходу за ребенком до достижения им возраста трех лет.</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Ежемесячная стимулирующая надбавка педагогическим работникам – молодым специалистам устанавливается с даты трудоустройства в течение первых 5 лет непрерывной работы на педагогической должности (или с момента начала реализации статуса молодого специалиста в течение 5 лет непрерывной работы на педагогической должности).</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Статус молодого специалиста, приступившего к работе до 1 января 2024 года, реализуется в течение 5 лет с момента начала реализации статуса молодого специалиста.</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Получение молодым специалистом квалификационной категории (или установление повышающего коэффициента за стаж педагогической работы) не являются основаниями для снятия ежемесячной стимулирующей надбавки.</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В пятилетний срок действия статуса молодого специалиста не включаются следующие периоды (статус сохраняется, срок действия продлевается):</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 период военной службы по мобилизации или при заключении им контракта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 период срочной военной службы или заменяющей ее альтернативной гражданской службы; </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 перерыв в работе продолжительностью не более трех месяцев после расторжения трудового договора в другой образовательной организации; </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 обучение в очной аспирантуре, магистратуре сроком не более трех лет; </w:t>
      </w:r>
    </w:p>
    <w:p>
      <w:pPr>
        <w:pStyle w:val="ConsPlusNormal"/>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 отпуск по беременности и родам, отпуск по уходу за ребенком до достижения им возраста трех лет. </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6.2.3.</w:t>
      </w:r>
      <w:r>
        <w:rPr>
          <w:sz w:val="28"/>
          <w:szCs w:val="28"/>
        </w:rPr>
        <w:t xml:space="preserve"> </w:t>
      </w:r>
      <w:r>
        <w:rPr>
          <w:rFonts w:cs="Times New Roman" w:ascii="Times New Roman" w:hAnsi="Times New Roman"/>
          <w:sz w:val="28"/>
          <w:szCs w:val="28"/>
        </w:rPr>
        <w:t>Единовременная стимулирующая выплата педагогическим работникам, закончившим полный курс обучения по очной (заочной) форме в организациях высшего образования и (или)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течении года после окончания обучения</w:t>
      </w:r>
      <w:r>
        <w:rPr>
          <w:rFonts w:cs="Times New Roman" w:ascii="Times New Roman" w:hAnsi="Times New Roman"/>
          <w:color w:val="EE0000"/>
          <w:sz w:val="28"/>
          <w:szCs w:val="28"/>
        </w:rPr>
        <w:t xml:space="preserve"> </w:t>
      </w:r>
      <w:r>
        <w:rPr>
          <w:rFonts w:cs="Times New Roman" w:ascii="Times New Roman" w:hAnsi="Times New Roman"/>
          <w:sz w:val="28"/>
          <w:szCs w:val="28"/>
        </w:rPr>
        <w:t xml:space="preserve">к работе на педагогические должности в организации, в размере </w:t>
      </w:r>
      <w:r>
        <w:rPr>
          <w:rFonts w:cs="Times New Roman" w:ascii="Times New Roman" w:hAnsi="Times New Roman"/>
          <w:i w:val="false"/>
          <w:iCs w:val="false"/>
          <w:sz w:val="28"/>
          <w:szCs w:val="28"/>
          <w:shd w:fill="auto" w:val="clear"/>
        </w:rPr>
        <w:t xml:space="preserve">до четырех минимальных ставок заработной платы, </w:t>
      </w:r>
      <w:r>
        <w:rPr>
          <w:rFonts w:cs="Times New Roman" w:ascii="Times New Roman" w:hAnsi="Times New Roman"/>
          <w:sz w:val="28"/>
          <w:szCs w:val="28"/>
          <w:shd w:fill="auto" w:val="clear"/>
        </w:rPr>
        <w:t>окладов в завис</w:t>
      </w:r>
      <w:r>
        <w:rPr>
          <w:rFonts w:cs="Times New Roman" w:ascii="Times New Roman" w:hAnsi="Times New Roman"/>
          <w:sz w:val="28"/>
          <w:szCs w:val="28"/>
        </w:rPr>
        <w:t>имости от квалификационного уровня занимаемой должности, отнесенной к ПКГ.</w:t>
      </w:r>
      <w:r>
        <w:rPr>
          <w:rFonts w:cs="Times New Roman" w:ascii="Times New Roman" w:hAnsi="Times New Roman"/>
          <w:sz w:val="24"/>
          <w:szCs w:val="24"/>
        </w:rPr>
        <w:t xml:space="preserve"> </w:t>
      </w:r>
    </w:p>
    <w:p>
      <w:pPr>
        <w:pStyle w:val="ConsPlusNormal"/>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6.2.4. Повышающий коэффициент руководящим работникам и специалистам, имеющим государственные награды (почетные звания),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организации устанавливается в размере 0,077 к должностному окладу работника организации, а педагогическим работникам при соответствии почетного звания профилю педагогической деятельности или преподаваемым дисциплинам - в размере 0,077 к оплате за фактическую нагрузку (объем педагогической  работы).</w:t>
      </w:r>
    </w:p>
    <w:p>
      <w:pPr>
        <w:pStyle w:val="ConsPlusNormal"/>
        <w:ind w:firstLine="709"/>
        <w:jc w:val="both"/>
        <w:rPr>
          <w:rFonts w:ascii="Times New Roman" w:hAnsi="Times New Roman" w:eastAsia="Calibri" w:cs="Times New Roman"/>
          <w:sz w:val="28"/>
          <w:szCs w:val="28"/>
        </w:rPr>
      </w:pPr>
      <w:r>
        <w:rPr>
          <w:rFonts w:eastAsia="Calibri" w:cs="Times New Roman" w:ascii="Times New Roman" w:hAnsi="Times New Roman"/>
          <w:sz w:val="28"/>
          <w:szCs w:val="28"/>
        </w:rPr>
        <w:t>6.2.5.</w:t>
      </w:r>
      <w:r>
        <w:rPr>
          <w:sz w:val="28"/>
          <w:szCs w:val="28"/>
        </w:rPr>
        <w:t xml:space="preserve"> </w:t>
      </w:r>
      <w:r>
        <w:rPr>
          <w:rFonts w:eastAsia="Calibri" w:cs="Times New Roman" w:ascii="Times New Roman" w:hAnsi="Times New Roman"/>
          <w:sz w:val="28"/>
          <w:szCs w:val="28"/>
        </w:rPr>
        <w:t>Повышающий коэффициент руководящим работникам и специалистам, имеющим ведомственные награды, установленные для работников различных отраслей, название которых начинается со слов "Почетный", "Отличник", при условии их соответствия профилю организации, устанавливается в размере 0,077 к должностному окладу, педагогическим работникам - в размере 0,077 к оплате за фактическую нагрузку (объем педагогической работы).</w:t>
      </w:r>
    </w:p>
    <w:p>
      <w:pPr>
        <w:pStyle w:val="Normal"/>
        <w:ind w:firstLine="709"/>
        <w:jc w:val="both"/>
        <w:rPr>
          <w:iCs/>
          <w:sz w:val="28"/>
          <w:szCs w:val="28"/>
        </w:rPr>
      </w:pPr>
      <w:r>
        <w:rPr>
          <w:iCs/>
          <w:sz w:val="28"/>
          <w:szCs w:val="28"/>
        </w:rPr>
        <w:t xml:space="preserve">6.2.6. В случае, когда работники одновременно имеют право на установление повышающих коэффициентов, предусмотренных пунктами 6.2.4 - 6.2.5 настоящего Положения, по нескольким основаниям, повышающий коэффициент устанавливается по одному из оснований в максимальном размере. </w:t>
      </w:r>
    </w:p>
    <w:p>
      <w:pPr>
        <w:pStyle w:val="Normal"/>
        <w:tabs>
          <w:tab w:val="clear" w:pos="708"/>
          <w:tab w:val="left" w:pos="0" w:leader="none"/>
          <w:tab w:val="left" w:pos="567" w:leader="none"/>
          <w:tab w:val="left" w:pos="993"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Fonts w:eastAsia="Calibri"/>
          <w:sz w:val="30"/>
          <w:szCs w:val="30"/>
        </w:rPr>
      </w:pPr>
      <w:r>
        <w:rPr>
          <w:sz w:val="28"/>
          <w:szCs w:val="28"/>
        </w:rPr>
        <w:t>6.2.7. Повышающий коэффициент воспитателям (учителям), ведущим занятия по национальным языкам в размере 11,6</w:t>
      </w:r>
      <w:r>
        <w:rPr>
          <w:rFonts w:eastAsia="Calibri"/>
          <w:sz w:val="30"/>
          <w:szCs w:val="30"/>
        </w:rPr>
        <w:t xml:space="preserve"> к оплате за фактическую нагрузку.</w:t>
      </w:r>
    </w:p>
    <w:p>
      <w:pPr>
        <w:pStyle w:val="Normal"/>
        <w:ind w:firstLine="709"/>
        <w:jc w:val="both"/>
        <w:rPr>
          <w:rFonts w:eastAsia="Calibri" w:eastAsiaTheme="minorHAnsi"/>
          <w:bCs/>
          <w:sz w:val="28"/>
          <w:szCs w:val="28"/>
          <w:lang w:eastAsia="en-US"/>
        </w:rPr>
      </w:pPr>
      <w:r>
        <w:rPr>
          <w:rFonts w:eastAsia="Calibri" w:eastAsiaTheme="minorHAnsi"/>
          <w:bCs/>
          <w:sz w:val="28"/>
          <w:szCs w:val="28"/>
          <w:lang w:eastAsia="en-US"/>
        </w:rPr>
        <w:t>6.2.98. Ежемесячная надбавка воспитателям, старшим воспитателям, иным педагогическим работникам, младшим воспитателям, помощникам воспитателей, работающим с детьми дошкольного возраста, устанавливается к заработной плате:</w:t>
      </w:r>
    </w:p>
    <w:p>
      <w:pPr>
        <w:pStyle w:val="Normal"/>
        <w:ind w:firstLine="709"/>
        <w:jc w:val="both"/>
        <w:rPr>
          <w:rFonts w:eastAsia="Calibri" w:eastAsiaTheme="minorHAnsi"/>
          <w:bCs/>
          <w:sz w:val="28"/>
          <w:szCs w:val="28"/>
          <w:lang w:eastAsia="en-US"/>
        </w:rPr>
      </w:pPr>
      <w:r>
        <w:rPr>
          <w:rFonts w:eastAsia="Calibri" w:eastAsiaTheme="minorHAnsi"/>
          <w:bCs/>
          <w:sz w:val="28"/>
          <w:szCs w:val="28"/>
          <w:lang w:eastAsia="en-US"/>
        </w:rPr>
        <w:t>5000 рублей – воспитателям, страшим воспитателям и иным педагогическим работникам;</w:t>
      </w:r>
    </w:p>
    <w:p>
      <w:pPr>
        <w:pStyle w:val="Normal"/>
        <w:ind w:firstLine="709"/>
        <w:jc w:val="both"/>
        <w:rPr>
          <w:rFonts w:eastAsia="Calibri" w:eastAsiaTheme="minorHAnsi"/>
          <w:bCs/>
          <w:sz w:val="28"/>
          <w:szCs w:val="28"/>
          <w:lang w:eastAsia="en-US"/>
        </w:rPr>
      </w:pPr>
      <w:r>
        <w:rPr>
          <w:rFonts w:eastAsia="Calibri" w:eastAsiaTheme="minorHAnsi"/>
          <w:bCs/>
          <w:sz w:val="28"/>
          <w:szCs w:val="28"/>
          <w:lang w:eastAsia="en-US"/>
        </w:rPr>
        <w:t>1000 рублей - младшим воспитателям, помощникам воспитателей.</w:t>
      </w:r>
    </w:p>
    <w:p>
      <w:pPr>
        <w:pStyle w:val="Normal"/>
        <w:ind w:firstLine="709"/>
        <w:jc w:val="both"/>
        <w:rPr>
          <w:rFonts w:eastAsia="Calibri" w:eastAsiaTheme="minorHAnsi"/>
          <w:bCs/>
          <w:sz w:val="28"/>
          <w:szCs w:val="28"/>
          <w:lang w:eastAsia="en-US"/>
        </w:rPr>
      </w:pPr>
      <w:r>
        <w:rPr>
          <w:rFonts w:eastAsia="Calibri" w:eastAsiaTheme="minorHAnsi"/>
          <w:bCs/>
          <w:sz w:val="28"/>
          <w:szCs w:val="28"/>
          <w:lang w:eastAsia="en-US"/>
        </w:rPr>
        <w:t>При работе менее или более чем на ставку заработной платы, а также при работе по внутреннему и внешнему совместительству надбавка выплачивается за фактическую нагрузку.</w:t>
      </w:r>
    </w:p>
    <w:p>
      <w:pPr>
        <w:pStyle w:val="BodyTextIndent"/>
        <w:spacing w:before="0" w:after="0"/>
        <w:ind w:firstLine="709" w:left="0"/>
        <w:jc w:val="both"/>
        <w:rPr>
          <w:bCs/>
          <w:sz w:val="28"/>
          <w:szCs w:val="28"/>
        </w:rPr>
      </w:pPr>
      <w:r>
        <w:rPr>
          <w:bCs/>
          <w:sz w:val="28"/>
          <w:szCs w:val="28"/>
        </w:rPr>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pPr>
        <w:pStyle w:val="BodyTextIndent"/>
        <w:spacing w:before="0" w:after="0"/>
        <w:ind w:firstLine="709" w:left="0"/>
        <w:jc w:val="both"/>
        <w:rPr>
          <w:bCs/>
          <w:sz w:val="28"/>
          <w:szCs w:val="28"/>
        </w:rPr>
      </w:pPr>
      <w:r>
        <w:rPr>
          <w:bCs/>
          <w:sz w:val="28"/>
          <w:szCs w:val="28"/>
        </w:rPr>
        <w:t>Надбавка выплачивается пропорционально отработанному времени, в том числе в условиях замещения отсутствующего работника.</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6.2.9. Повышающий коэффициент к окладу по занимаемой должности педагогу-психологу, работающему с детьми из социально неблагополучных семей, в размере 0,116 к ставке заработной платы, окладу.</w:t>
      </w:r>
    </w:p>
    <w:p>
      <w:pPr>
        <w:pStyle w:val="ConsPlusNormal"/>
        <w:ind w:firstLine="709"/>
        <w:jc w:val="both"/>
        <w:rPr>
          <w:rFonts w:ascii="Times New Roman" w:hAnsi="Times New Roman" w:cs="Times New Roman"/>
          <w:i/>
          <w:i/>
          <w:sz w:val="28"/>
          <w:szCs w:val="28"/>
        </w:rPr>
      </w:pPr>
      <w:r>
        <w:rPr>
          <w:rFonts w:cs="Times New Roman" w:ascii="Times New Roman" w:hAnsi="Times New Roman"/>
          <w:sz w:val="28"/>
          <w:szCs w:val="28"/>
        </w:rPr>
        <w:t xml:space="preserve">6.2.10. </w:t>
      </w:r>
      <w:r>
        <w:rPr>
          <w:rFonts w:eastAsia="Calibri" w:cs="Times New Roman" w:ascii="Times New Roman" w:hAnsi="Times New Roman"/>
          <w:sz w:val="28"/>
          <w:szCs w:val="28"/>
        </w:rPr>
        <w:t>При наличии экономии фонда оплаты труда, достижении показателей эффективности профессиональной деятельности работникам могут быть установлены стимулирующие выплаты за интенсивность, результаты и качество профессиональной деятельности.</w:t>
      </w:r>
    </w:p>
    <w:p>
      <w:pPr>
        <w:pStyle w:val="Normal"/>
        <w:ind w:firstLine="709"/>
        <w:jc w:val="both"/>
        <w:rPr>
          <w:rFonts w:eastAsia="Calibri"/>
          <w:sz w:val="30"/>
          <w:szCs w:val="30"/>
        </w:rPr>
      </w:pPr>
      <w:r>
        <w:rPr>
          <w:rFonts w:eastAsia="Calibri"/>
          <w:sz w:val="30"/>
          <w:szCs w:val="30"/>
        </w:rPr>
        <w:t>К данным видам выплат относятся</w:t>
      </w:r>
      <w:r>
        <w:rPr>
          <w:rFonts w:eastAsia="Calibri"/>
          <w:i/>
          <w:iCs/>
          <w:sz w:val="30"/>
          <w:szCs w:val="30"/>
        </w:rPr>
        <w:t>:</w:t>
      </w:r>
    </w:p>
    <w:p>
      <w:pPr>
        <w:pStyle w:val="Normal"/>
        <w:ind w:firstLine="709"/>
        <w:jc w:val="both"/>
        <w:rPr>
          <w:rFonts w:eastAsia="Calibri"/>
          <w:sz w:val="30"/>
          <w:szCs w:val="30"/>
        </w:rPr>
      </w:pPr>
      <w:r>
        <w:rPr>
          <w:rFonts w:eastAsia="Calibri"/>
          <w:sz w:val="30"/>
          <w:szCs w:val="30"/>
        </w:rPr>
        <w:t xml:space="preserve">- стимулирующие выплаты за результативность и качество профессиональной деятельности работников; </w:t>
      </w:r>
    </w:p>
    <w:p>
      <w:pPr>
        <w:pStyle w:val="Normal"/>
        <w:ind w:firstLine="709"/>
        <w:jc w:val="both"/>
        <w:rPr>
          <w:rFonts w:eastAsia="Calibri"/>
          <w:sz w:val="30"/>
          <w:szCs w:val="30"/>
        </w:rPr>
      </w:pPr>
      <w:r>
        <w:rPr>
          <w:rFonts w:eastAsia="Calibri"/>
          <w:sz w:val="30"/>
          <w:szCs w:val="30"/>
        </w:rPr>
        <w:t>- персональный повышающий коэффициент;</w:t>
      </w:r>
    </w:p>
    <w:p>
      <w:pPr>
        <w:pStyle w:val="Normal"/>
        <w:ind w:firstLine="709"/>
        <w:jc w:val="both"/>
        <w:rPr>
          <w:rFonts w:eastAsia="Calibri"/>
          <w:sz w:val="30"/>
          <w:szCs w:val="30"/>
        </w:rPr>
      </w:pPr>
      <w:r>
        <w:rPr>
          <w:rFonts w:eastAsia="Calibri"/>
          <w:sz w:val="30"/>
          <w:szCs w:val="30"/>
        </w:rPr>
        <w:t>- премиальные выплаты по итогам работы.</w:t>
      </w:r>
    </w:p>
    <w:p>
      <w:pPr>
        <w:pStyle w:val="Normal"/>
        <w:ind w:firstLine="709"/>
        <w:jc w:val="both"/>
        <w:rPr>
          <w:rFonts w:eastAsia="Calibri"/>
          <w:i/>
          <w:i/>
          <w:iCs/>
        </w:rPr>
      </w:pPr>
      <w:r>
        <w:rPr>
          <w:rFonts w:eastAsia="Calibri"/>
          <w:sz w:val="28"/>
          <w:szCs w:val="28"/>
        </w:rPr>
        <w:t xml:space="preserve">Размеры, порядок и условия установления стимулирующих выплат </w:t>
        <w:br/>
        <w:t xml:space="preserve">за интенсивность, результаты и качество профессиональной деятельности для всех категорий работников определяются и устанавливаются с учетом показателей и критериев оценки эффективности профессиональной деятельности работников в соответствии с </w:t>
      </w:r>
      <w:r>
        <w:rPr>
          <w:rFonts w:eastAsia="Calibri" w:cs="Times New Roman"/>
          <w:sz w:val="28"/>
          <w:szCs w:val="28"/>
          <w:shd w:fill="auto" w:val="clear"/>
        </w:rPr>
        <w:t>Положением о порядке установления выплат стимулирующего характера педагогичеким работникам.</w:t>
      </w:r>
    </w:p>
    <w:p>
      <w:pPr>
        <w:pStyle w:val="Normal"/>
        <w:ind w:firstLine="709"/>
        <w:jc w:val="both"/>
        <w:rPr>
          <w:rFonts w:eastAsia="Calibri" w:eastAsiaTheme="minorHAnsi"/>
          <w:bCs/>
          <w:sz w:val="28"/>
          <w:szCs w:val="28"/>
          <w:lang w:eastAsia="en-US"/>
        </w:rPr>
      </w:pPr>
      <w:r>
        <w:rPr>
          <w:rFonts w:eastAsia="Calibri" w:eastAsiaTheme="minorHAnsi"/>
          <w:bCs/>
          <w:sz w:val="28"/>
          <w:szCs w:val="28"/>
          <w:lang w:eastAsia="en-US"/>
        </w:rPr>
        <w:t>Решения об установлении персонального повышающего коэффициента к окладу, ставке заработной платы и о его размере принимаются руководителем организации персонально в отношении конкретного работника с учетом мнения выборного органа первичной профсоюзной организации.</w:t>
      </w:r>
    </w:p>
    <w:p>
      <w:pPr>
        <w:pStyle w:val="Normal"/>
        <w:ind w:firstLine="709"/>
        <w:jc w:val="both"/>
        <w:rPr>
          <w:rFonts w:eastAsia="Calibri"/>
          <w:sz w:val="28"/>
          <w:szCs w:val="28"/>
        </w:rPr>
      </w:pPr>
      <w:r>
        <w:rPr>
          <w:rFonts w:eastAsia="Calibri"/>
          <w:sz w:val="28"/>
          <w:szCs w:val="28"/>
        </w:rPr>
        <w:t xml:space="preserve">Размер персонального повышающего коэффициента устанавливается в размере – до 3,00, кроме педагогических работников. </w:t>
      </w:r>
    </w:p>
    <w:p>
      <w:pPr>
        <w:pStyle w:val="Normal"/>
        <w:ind w:firstLine="709"/>
        <w:jc w:val="both"/>
        <w:rPr>
          <w:rFonts w:eastAsia="Calibri"/>
          <w:sz w:val="28"/>
          <w:szCs w:val="28"/>
        </w:rPr>
      </w:pPr>
      <w:r>
        <w:rPr>
          <w:rFonts w:eastAsia="Calibri"/>
          <w:sz w:val="28"/>
          <w:szCs w:val="28"/>
        </w:rPr>
        <w:t>Педагогическим работникам персональный повышающий коэффициент устанавливается в размере – до 1,85.</w:t>
      </w:r>
    </w:p>
    <w:p>
      <w:pPr>
        <w:pStyle w:val="Normal"/>
        <w:ind w:firstLine="709"/>
        <w:jc w:val="both"/>
        <w:rPr>
          <w:rFonts w:eastAsia="Calibri"/>
          <w:sz w:val="28"/>
          <w:szCs w:val="28"/>
        </w:rPr>
      </w:pPr>
      <w:r>
        <w:rPr>
          <w:rFonts w:eastAsia="Calibri"/>
          <w:sz w:val="28"/>
          <w:szCs w:val="28"/>
        </w:rPr>
        <w:t>6.2.11. Условия установления выплат стимулирующего характера и их размеры конкретизируются в трудовых договорах работников и (или) в дополнительных соглашениях к ним.</w:t>
      </w:r>
    </w:p>
    <w:p>
      <w:pPr>
        <w:pStyle w:val="Normal"/>
        <w:ind w:firstLine="709"/>
        <w:jc w:val="both"/>
        <w:rPr>
          <w:rFonts w:eastAsia="Calibri"/>
          <w:sz w:val="28"/>
          <w:szCs w:val="28"/>
        </w:rPr>
      </w:pPr>
      <w:r>
        <w:rPr>
          <w:rFonts w:eastAsia="Calibri"/>
          <w:sz w:val="28"/>
          <w:szCs w:val="28"/>
        </w:rPr>
        <w:t xml:space="preserve">6.2.12. 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w:t>
      </w:r>
    </w:p>
    <w:p>
      <w:pPr>
        <w:pStyle w:val="Normal"/>
        <w:ind w:firstLine="709"/>
        <w:jc w:val="both"/>
        <w:rPr>
          <w:rFonts w:eastAsia="Calibri"/>
          <w:sz w:val="28"/>
          <w:szCs w:val="28"/>
        </w:rPr>
      </w:pPr>
      <w:r>
        <w:rPr>
          <w:rFonts w:eastAsia="Calibri"/>
          <w:sz w:val="28"/>
          <w:szCs w:val="28"/>
        </w:rPr>
        <w:t>При установлении условий осуществления стимулирующих выплат локальным нормативным актом организации или коллективным договором для отдельных видов стимулирующих выплат вышеуказанным категориям работников может предусматриваться их выплата в полном размере.</w:t>
      </w:r>
    </w:p>
    <w:p>
      <w:pPr>
        <w:pStyle w:val="Normal"/>
        <w:ind w:firstLine="709"/>
        <w:jc w:val="both"/>
        <w:rPr>
          <w:rFonts w:eastAsia="Calibri" w:eastAsiaTheme="minorHAnsi"/>
          <w:bCs/>
          <w:sz w:val="28"/>
          <w:szCs w:val="28"/>
          <w:lang w:eastAsia="en-US"/>
        </w:rPr>
      </w:pPr>
      <w:r>
        <w:rPr>
          <w:rFonts w:eastAsia="Calibri" w:eastAsiaTheme="minorHAnsi"/>
          <w:bCs/>
          <w:sz w:val="28"/>
          <w:szCs w:val="28"/>
          <w:lang w:eastAsia="en-US"/>
        </w:rPr>
        <w:t xml:space="preserve">6.2.13. </w:t>
      </w:r>
      <w:r>
        <w:rPr>
          <w:rFonts w:eastAsia="Calibri"/>
          <w:sz w:val="28"/>
          <w:szCs w:val="28"/>
        </w:rPr>
        <w:t xml:space="preserve">При наличии экономии фонда оплаты труда работникам может быть: </w:t>
      </w:r>
    </w:p>
    <w:p>
      <w:pPr>
        <w:pStyle w:val="Normal"/>
        <w:ind w:firstLine="709"/>
        <w:jc w:val="both"/>
        <w:rPr>
          <w:rFonts w:eastAsia="Calibri"/>
          <w:sz w:val="28"/>
          <w:szCs w:val="28"/>
        </w:rPr>
      </w:pPr>
      <w:r>
        <w:rPr>
          <w:rFonts w:eastAsia="Calibri"/>
          <w:sz w:val="28"/>
          <w:szCs w:val="28"/>
        </w:rPr>
        <w:t>установлена единовременная выплата в связи с заключением контракта на прохождение военной службы в Вооруженных Силах Российской Федерации для участия в специальной военной операции в размере 50000 рублей;</w:t>
      </w:r>
    </w:p>
    <w:p>
      <w:pPr>
        <w:pStyle w:val="Normal"/>
        <w:ind w:firstLine="709"/>
        <w:jc w:val="both"/>
        <w:rPr>
          <w:rFonts w:eastAsia="Calibri"/>
          <w:sz w:val="28"/>
          <w:szCs w:val="28"/>
        </w:rPr>
      </w:pPr>
      <w:r>
        <w:rPr>
          <w:rFonts w:eastAsia="Calibri"/>
          <w:sz w:val="28"/>
          <w:szCs w:val="28"/>
        </w:rPr>
        <w:t>установлена единовременная выплата по итогам года;</w:t>
      </w:r>
    </w:p>
    <w:p>
      <w:pPr>
        <w:pStyle w:val="Normal"/>
        <w:ind w:firstLine="709"/>
        <w:jc w:val="both"/>
        <w:rPr>
          <w:rFonts w:eastAsia="Calibri"/>
          <w:sz w:val="28"/>
          <w:szCs w:val="28"/>
        </w:rPr>
      </w:pPr>
      <w:r>
        <w:rPr>
          <w:rFonts w:eastAsia="Calibri"/>
          <w:sz w:val="28"/>
          <w:szCs w:val="28"/>
        </w:rPr>
        <w:t>выплачено единовременное поощрение:</w:t>
      </w:r>
    </w:p>
    <w:p>
      <w:pPr>
        <w:pStyle w:val="Normal"/>
        <w:ind w:firstLine="709"/>
        <w:jc w:val="both"/>
        <w:rPr>
          <w:rFonts w:eastAsia="Calibri"/>
          <w:sz w:val="28"/>
          <w:szCs w:val="28"/>
        </w:rPr>
      </w:pPr>
      <w:r>
        <w:rPr>
          <w:rFonts w:eastAsia="Calibri"/>
          <w:sz w:val="28"/>
          <w:szCs w:val="28"/>
        </w:rPr>
        <w:t>при награждении знаками особого отличия - медалью "Золотая Звезда" и золотой медалью "Герой Труда Российской Федерации" - в размере 100000 рублей;</w:t>
      </w:r>
    </w:p>
    <w:p>
      <w:pPr>
        <w:pStyle w:val="Normal"/>
        <w:ind w:firstLine="709"/>
        <w:jc w:val="both"/>
        <w:rPr>
          <w:rFonts w:eastAsia="Calibri"/>
          <w:sz w:val="28"/>
          <w:szCs w:val="28"/>
        </w:rPr>
      </w:pPr>
      <w:r>
        <w:rPr>
          <w:rFonts w:eastAsia="Calibri"/>
          <w:sz w:val="28"/>
          <w:szCs w:val="28"/>
        </w:rPr>
        <w:t>при награждении орденами Российской Федерации, медалями Российской Федерации, за исключением юбилейных медалей Российской Федерации, и знаком отличия ордена Святого Георгия - Георгиевским Крестом - в размере 50000 рублей;</w:t>
      </w:r>
    </w:p>
    <w:p>
      <w:pPr>
        <w:pStyle w:val="Normal"/>
        <w:ind w:firstLine="709"/>
        <w:jc w:val="both"/>
        <w:rPr>
          <w:rFonts w:eastAsia="Calibri"/>
          <w:sz w:val="28"/>
          <w:szCs w:val="28"/>
        </w:rPr>
      </w:pPr>
      <w:r>
        <w:rPr>
          <w:rFonts w:eastAsia="Calibri"/>
          <w:sz w:val="28"/>
          <w:szCs w:val="28"/>
        </w:rPr>
        <w:t xml:space="preserve">при присвоении почетных званий Российской Федерации </w:t>
        <w:br/>
        <w:t>и награждении знаками отличия Российской Федерации - в размере 30000 рублей;</w:t>
      </w:r>
    </w:p>
    <w:p>
      <w:pPr>
        <w:pStyle w:val="Normal"/>
        <w:ind w:firstLine="709"/>
        <w:jc w:val="both"/>
        <w:rPr>
          <w:rFonts w:eastAsia="Calibri"/>
          <w:sz w:val="28"/>
          <w:szCs w:val="28"/>
        </w:rPr>
      </w:pPr>
      <w:r>
        <w:rPr>
          <w:rFonts w:eastAsia="Calibri"/>
          <w:sz w:val="28"/>
          <w:szCs w:val="28"/>
        </w:rPr>
        <w:t>при поощрении Президентом Российской Федерации - в размере 20000 рублей;</w:t>
      </w:r>
    </w:p>
    <w:p>
      <w:pPr>
        <w:pStyle w:val="Normal"/>
        <w:ind w:firstLine="709"/>
        <w:jc w:val="both"/>
        <w:rPr>
          <w:rFonts w:eastAsia="Calibri"/>
          <w:sz w:val="28"/>
          <w:szCs w:val="28"/>
        </w:rPr>
      </w:pPr>
      <w:r>
        <w:rPr>
          <w:rFonts w:eastAsia="Calibri"/>
          <w:sz w:val="28"/>
          <w:szCs w:val="28"/>
        </w:rPr>
        <w:t>при поощрении Правительством Российской Федерации - в размере 10000 рублей;</w:t>
      </w:r>
    </w:p>
    <w:p>
      <w:pPr>
        <w:pStyle w:val="Normal"/>
        <w:ind w:firstLine="709"/>
        <w:jc w:val="both"/>
        <w:rPr>
          <w:rFonts w:eastAsia="Calibri"/>
          <w:sz w:val="28"/>
          <w:szCs w:val="28"/>
        </w:rPr>
      </w:pPr>
      <w:r>
        <w:rPr>
          <w:rFonts w:eastAsia="Calibri"/>
          <w:sz w:val="28"/>
          <w:szCs w:val="28"/>
        </w:rPr>
        <w:t xml:space="preserve">при награждении орденами и медалями Республики Башкортостан - </w:t>
        <w:br/>
        <w:t>в размере 30000 рублей;</w:t>
      </w:r>
    </w:p>
    <w:p>
      <w:pPr>
        <w:pStyle w:val="Normal"/>
        <w:ind w:firstLine="709"/>
        <w:jc w:val="both"/>
        <w:rPr>
          <w:rFonts w:eastAsia="Calibri"/>
          <w:sz w:val="28"/>
          <w:szCs w:val="28"/>
        </w:rPr>
      </w:pPr>
      <w:r>
        <w:rPr>
          <w:rFonts w:eastAsia="Calibri"/>
          <w:sz w:val="28"/>
          <w:szCs w:val="28"/>
        </w:rPr>
        <w:t xml:space="preserve">при награждении Почетной грамотой Республики Башкортостан </w:t>
        <w:br/>
        <w:t>и присвоении почетных званий Республики Башкортостан - в размере 20000 рублей;</w:t>
      </w:r>
    </w:p>
    <w:p>
      <w:pPr>
        <w:pStyle w:val="Normal"/>
        <w:ind w:firstLine="709"/>
        <w:jc w:val="both"/>
        <w:rPr>
          <w:rFonts w:eastAsia="Calibri"/>
          <w:sz w:val="28"/>
          <w:szCs w:val="28"/>
        </w:rPr>
      </w:pPr>
      <w:r>
        <w:rPr>
          <w:rFonts w:eastAsia="Calibri"/>
          <w:sz w:val="28"/>
          <w:szCs w:val="28"/>
        </w:rPr>
        <w:t>при поощрении Главой Республики Башкортостан - в размере 10000 рублей;</w:t>
      </w:r>
    </w:p>
    <w:p>
      <w:pPr>
        <w:pStyle w:val="Normal"/>
        <w:ind w:firstLine="709"/>
        <w:jc w:val="both"/>
        <w:rPr>
          <w:rFonts w:eastAsia="Calibri"/>
          <w:sz w:val="28"/>
          <w:szCs w:val="28"/>
        </w:rPr>
      </w:pPr>
      <w:r>
        <w:rPr>
          <w:rFonts w:eastAsia="Calibri"/>
          <w:sz w:val="28"/>
          <w:szCs w:val="28"/>
        </w:rPr>
        <w:t>при поощрении Государственным Собранием - Курултаем Республики Башкортостан - в размере 10000 рублей;</w:t>
      </w:r>
    </w:p>
    <w:p>
      <w:pPr>
        <w:pStyle w:val="Normal"/>
        <w:ind w:firstLine="709"/>
        <w:jc w:val="both"/>
        <w:rPr>
          <w:rFonts w:eastAsia="Calibri"/>
          <w:sz w:val="28"/>
          <w:szCs w:val="28"/>
        </w:rPr>
      </w:pPr>
      <w:r>
        <w:rPr>
          <w:rFonts w:eastAsia="Calibri"/>
          <w:sz w:val="28"/>
          <w:szCs w:val="28"/>
        </w:rPr>
        <w:t>при поощрении Правительством Республики Башкортостан - в размере 10000 рублей;</w:t>
      </w:r>
    </w:p>
    <w:p>
      <w:pPr>
        <w:pStyle w:val="Normal"/>
        <w:ind w:firstLine="709"/>
        <w:jc w:val="both"/>
        <w:rPr>
          <w:rFonts w:eastAsia="Calibri"/>
          <w:sz w:val="28"/>
          <w:szCs w:val="28"/>
        </w:rPr>
      </w:pPr>
      <w:r>
        <w:rPr>
          <w:rFonts w:eastAsia="Calibri"/>
          <w:sz w:val="28"/>
          <w:szCs w:val="28"/>
        </w:rPr>
        <w:t>при поощрении Министерством просвещения Республики Башкортостан - в размере 2000 рублей;</w:t>
      </w:r>
    </w:p>
    <w:p>
      <w:pPr>
        <w:pStyle w:val="Normal"/>
        <w:ind w:firstLine="709"/>
        <w:jc w:val="both"/>
        <w:rPr>
          <w:rFonts w:eastAsia="Calibri"/>
          <w:sz w:val="28"/>
          <w:szCs w:val="28"/>
        </w:rPr>
      </w:pPr>
      <w:r>
        <w:rPr>
          <w:rFonts w:eastAsia="Calibri"/>
          <w:sz w:val="28"/>
          <w:szCs w:val="28"/>
        </w:rPr>
        <w:t>оказана материальная помощь в соответствии с Положением об установлении материальной помощи организации.</w:t>
      </w:r>
    </w:p>
    <w:p>
      <w:pPr>
        <w:pStyle w:val="Normal"/>
        <w:widowControl/>
        <w:suppressAutoHyphens w:val="true"/>
        <w:bidi w:val="0"/>
        <w:spacing w:lineRule="auto" w:line="240" w:before="0" w:after="0"/>
        <w:ind w:firstLine="737" w:left="0" w:right="0"/>
        <w:jc w:val="both"/>
        <w:rPr>
          <w:color w:val="000000"/>
          <w:sz w:val="28"/>
          <w:szCs w:val="28"/>
        </w:rPr>
      </w:pPr>
      <w:r>
        <w:rPr>
          <w:color w:val="000000"/>
          <w:sz w:val="28"/>
          <w:szCs w:val="28"/>
        </w:rPr>
        <w:t>Работникам учреждения при наличии экономии фонда оплаты труда и предъявлении ими подтверждающих документов может быть оказана материальная помощь в следующих случаях:</w:t>
      </w:r>
    </w:p>
    <w:p>
      <w:pPr>
        <w:pStyle w:val="Normal"/>
        <w:widowControl/>
        <w:suppressAutoHyphens w:val="true"/>
        <w:bidi w:val="0"/>
        <w:spacing w:lineRule="auto" w:line="240" w:before="0" w:after="0"/>
        <w:ind w:hanging="0" w:left="0" w:right="0"/>
        <w:jc w:val="both"/>
        <w:rPr>
          <w:color w:val="000000"/>
          <w:sz w:val="28"/>
          <w:szCs w:val="28"/>
        </w:rPr>
      </w:pPr>
      <w:r>
        <w:rPr>
          <w:color w:val="000000"/>
          <w:sz w:val="28"/>
          <w:szCs w:val="28"/>
        </w:rPr>
        <w:tab/>
        <w:t>в связи с юбилейными датами при достижении возраста 55 лет (женщины), 60, 65 лет не более 5000 рублей;</w:t>
      </w:r>
    </w:p>
    <w:p>
      <w:pPr>
        <w:pStyle w:val="Normal"/>
        <w:widowControl/>
        <w:suppressAutoHyphens w:val="true"/>
        <w:bidi w:val="0"/>
        <w:spacing w:lineRule="auto" w:line="240" w:before="0" w:after="0"/>
        <w:ind w:hanging="0" w:left="0" w:right="0"/>
        <w:jc w:val="both"/>
        <w:rPr>
          <w:color w:val="000000"/>
          <w:sz w:val="28"/>
          <w:szCs w:val="28"/>
        </w:rPr>
      </w:pPr>
      <w:r>
        <w:rPr>
          <w:color w:val="000000"/>
          <w:sz w:val="28"/>
          <w:szCs w:val="28"/>
        </w:rPr>
        <w:tab/>
        <w:t>в связи с бракосочетанием работника по заявлению работника и на основании копии свидетельства о браке - не более 5000 рублей; в связи с рождением ребенка - не более 5000 рублей;</w:t>
      </w:r>
    </w:p>
    <w:p>
      <w:pPr>
        <w:pStyle w:val="Normal"/>
        <w:widowControl/>
        <w:suppressAutoHyphens w:val="true"/>
        <w:bidi w:val="0"/>
        <w:spacing w:lineRule="auto" w:line="240" w:before="0" w:after="0"/>
        <w:ind w:hanging="0" w:left="0" w:right="0"/>
        <w:jc w:val="both"/>
        <w:rPr>
          <w:color w:val="000000"/>
          <w:sz w:val="28"/>
          <w:szCs w:val="28"/>
        </w:rPr>
      </w:pPr>
      <w:r>
        <w:rPr>
          <w:color w:val="000000"/>
          <w:sz w:val="28"/>
          <w:szCs w:val="28"/>
        </w:rPr>
        <w:tab/>
        <w:t>в связи со смертью супруга (супруги), родителей, детей работника учреждения - не более 5000 рублей;</w:t>
      </w:r>
    </w:p>
    <w:p>
      <w:pPr>
        <w:pStyle w:val="Normal"/>
        <w:widowControl/>
        <w:suppressAutoHyphens w:val="true"/>
        <w:bidi w:val="0"/>
        <w:spacing w:lineRule="auto" w:line="240" w:before="0" w:after="0"/>
        <w:ind w:hanging="0" w:left="0" w:right="0"/>
        <w:jc w:val="both"/>
        <w:rPr>
          <w:color w:val="000000"/>
          <w:sz w:val="28"/>
          <w:szCs w:val="28"/>
        </w:rPr>
      </w:pPr>
      <w:r>
        <w:rPr>
          <w:color w:val="000000"/>
          <w:sz w:val="28"/>
          <w:szCs w:val="28"/>
        </w:rPr>
        <w:tab/>
        <w:t>в связи с продолжительностью периода временной нетрудоспособности свыше одного месяца подряд, а также сложным материальным положением - не более 5000 рублей;</w:t>
      </w:r>
    </w:p>
    <w:p>
      <w:pPr>
        <w:pStyle w:val="Normal"/>
        <w:widowControl/>
        <w:suppressAutoHyphens w:val="true"/>
        <w:bidi w:val="0"/>
        <w:spacing w:lineRule="auto" w:line="240" w:before="0" w:after="0"/>
        <w:ind w:hanging="0" w:left="0" w:right="0"/>
        <w:jc w:val="both"/>
        <w:rPr>
          <w:color w:val="000000"/>
          <w:sz w:val="28"/>
          <w:szCs w:val="28"/>
        </w:rPr>
      </w:pPr>
      <w:r>
        <w:rPr>
          <w:color w:val="000000"/>
          <w:sz w:val="28"/>
          <w:szCs w:val="28"/>
        </w:rPr>
        <w:tab/>
        <w:t>в связи со смертью работника учреждения по заявлению одного из близких родственников (супругу (супруге), родителям, детям, брату, сестре) или иному лицу, оплачивающему похороны, - не более 7000 рублей.</w:t>
      </w:r>
    </w:p>
    <w:p>
      <w:pPr>
        <w:pStyle w:val="Normal"/>
        <w:widowControl/>
        <w:suppressAutoHyphens w:val="true"/>
        <w:bidi w:val="0"/>
        <w:spacing w:lineRule="auto" w:line="240" w:before="0" w:after="0"/>
        <w:ind w:hanging="0" w:left="0" w:right="57"/>
        <w:jc w:val="both"/>
        <w:rPr>
          <w:color w:val="000000"/>
          <w:sz w:val="28"/>
          <w:szCs w:val="28"/>
        </w:rPr>
      </w:pPr>
      <w:r>
        <w:rPr>
          <w:color w:val="000000"/>
          <w:sz w:val="28"/>
          <w:szCs w:val="28"/>
        </w:rPr>
        <w:tab/>
        <w:t>В случае, если оба супруга (родителя) являются работниками учреждения, материальная помощь в связи с бракосочетанием и рождением ребенка выплачивается только одному работнику.</w:t>
      </w:r>
    </w:p>
    <w:p>
      <w:pPr>
        <w:pStyle w:val="Normal"/>
        <w:widowControl/>
        <w:suppressAutoHyphens w:val="true"/>
        <w:bidi w:val="0"/>
        <w:spacing w:lineRule="auto" w:line="240" w:before="0" w:after="0"/>
        <w:ind w:hanging="0" w:left="0" w:right="0"/>
        <w:jc w:val="both"/>
        <w:rPr>
          <w:color w:val="000000"/>
          <w:sz w:val="28"/>
          <w:szCs w:val="28"/>
        </w:rPr>
      </w:pPr>
      <w:r>
        <w:rPr>
          <w:color w:val="000000"/>
          <w:sz w:val="28"/>
          <w:szCs w:val="28"/>
        </w:rPr>
        <w:tab/>
        <w:t>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pPr>
        <w:pStyle w:val="Normal"/>
        <w:widowControl/>
        <w:suppressAutoHyphens w:val="true"/>
        <w:bidi w:val="0"/>
        <w:spacing w:lineRule="auto" w:line="240" w:before="0" w:after="0"/>
        <w:ind w:hanging="0" w:left="0" w:right="0"/>
        <w:jc w:val="both"/>
        <w:rPr>
          <w:color w:val="000000"/>
          <w:sz w:val="28"/>
          <w:szCs w:val="28"/>
        </w:rPr>
      </w:pPr>
      <w:r>
        <w:rPr>
          <w:color w:val="000000"/>
          <w:sz w:val="28"/>
          <w:szCs w:val="28"/>
        </w:rPr>
        <w:drawing>
          <wp:inline distT="0" distB="0" distL="0" distR="0">
            <wp:extent cx="15875" cy="15875"/>
            <wp:effectExtent l="0" t="0" r="0" b="0"/>
            <wp:docPr id="1" name="Изображение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03" descr=""/>
                    <pic:cNvPicPr>
                      <a:picLocks noChangeAspect="1" noChangeArrowheads="1"/>
                    </pic:cNvPicPr>
                  </pic:nvPicPr>
                  <pic:blipFill>
                    <a:blip r:embed="rId5"/>
                    <a:srcRect l="-15385" t="-15385" r="-15385" b="-15385"/>
                    <a:stretch>
                      <a:fillRect/>
                    </a:stretch>
                  </pic:blipFill>
                  <pic:spPr bwMode="auto">
                    <a:xfrm>
                      <a:off x="0" y="0"/>
                      <a:ext cx="15875" cy="15875"/>
                    </a:xfrm>
                    <a:prstGeom prst="rect">
                      <a:avLst/>
                    </a:prstGeom>
                    <a:noFill/>
                  </pic:spPr>
                </pic:pic>
              </a:graphicData>
            </a:graphic>
          </wp:inline>
        </w:drawing>
      </w:r>
      <w:r>
        <w:rPr>
          <w:color w:val="000000"/>
          <w:sz w:val="28"/>
          <w:szCs w:val="28"/>
        </w:rPr>
        <w:tab/>
      </w:r>
      <w:r>
        <w:rPr>
          <w:color w:val="000000"/>
          <w:sz w:val="28"/>
          <w:szCs w:val="28"/>
        </w:rPr>
        <w:t xml:space="preserve">Решение об оказании материальной помощи руководителю учреждения принимает </w:t>
      </w:r>
      <w:r>
        <w:rPr>
          <w:color w:val="000000"/>
          <w:sz w:val="28"/>
          <w:szCs w:val="28"/>
        </w:rPr>
        <w:drawing>
          <wp:inline distT="0" distB="0" distL="0" distR="0">
            <wp:extent cx="15875" cy="15875"/>
            <wp:effectExtent l="0" t="0" r="0" b="0"/>
            <wp:docPr id="2" name="Изображение1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04" descr=""/>
                    <pic:cNvPicPr>
                      <a:picLocks noChangeAspect="1" noChangeArrowheads="1"/>
                    </pic:cNvPicPr>
                  </pic:nvPicPr>
                  <pic:blipFill>
                    <a:blip r:embed="rId6"/>
                    <a:srcRect l="-15385" t="-15385" r="-15385" b="-15385"/>
                    <a:stretch>
                      <a:fillRect/>
                    </a:stretch>
                  </pic:blipFill>
                  <pic:spPr bwMode="auto">
                    <a:xfrm>
                      <a:off x="0" y="0"/>
                      <a:ext cx="15875" cy="15875"/>
                    </a:xfrm>
                    <a:prstGeom prst="rect">
                      <a:avLst/>
                    </a:prstGeom>
                    <a:noFill/>
                  </pic:spPr>
                </pic:pic>
              </a:graphicData>
            </a:graphic>
          </wp:inline>
        </w:drawing>
      </w:r>
      <w:r>
        <w:rPr>
          <w:color w:val="000000"/>
          <w:sz w:val="28"/>
          <w:szCs w:val="28"/>
        </w:rPr>
        <w:t>Учредитель на основании письменного заявления руководителя учреждения не чаще 1 раза в календарном году в размере 1 должностного оклада.</w:t>
      </w:r>
    </w:p>
    <w:p>
      <w:pPr>
        <w:pStyle w:val="Normal"/>
        <w:widowControl/>
        <w:suppressAutoHyphens w:val="true"/>
        <w:bidi w:val="0"/>
        <w:spacing w:lineRule="auto" w:line="240" w:before="0" w:after="0"/>
        <w:ind w:hanging="0" w:left="0" w:right="0"/>
        <w:jc w:val="both"/>
        <w:rPr>
          <w:color w:val="000000"/>
          <w:sz w:val="28"/>
          <w:szCs w:val="28"/>
        </w:rPr>
      </w:pPr>
      <w:r>
        <w:rPr>
          <w:color w:val="000000"/>
          <w:sz w:val="28"/>
          <w:szCs w:val="28"/>
        </w:rPr>
        <w:tab/>
        <w:t>Решение об оказании материальной помощи исполняющему обязанности руководителя учреждения принимается на основании приказа учреждения по согласованию с учредителем.</w:t>
      </w:r>
    </w:p>
    <w:p>
      <w:pPr>
        <w:pStyle w:val="Normal"/>
        <w:widowControl/>
        <w:tabs>
          <w:tab w:val="clear" w:pos="708"/>
          <w:tab w:val="left" w:pos="165" w:leader="none"/>
        </w:tabs>
        <w:suppressAutoHyphens w:val="true"/>
        <w:bidi w:val="0"/>
        <w:spacing w:lineRule="auto" w:line="240" w:before="0" w:after="0"/>
        <w:ind w:hanging="0" w:left="0" w:right="0"/>
        <w:jc w:val="both"/>
        <w:rPr>
          <w:color w:val="000000"/>
          <w:sz w:val="28"/>
          <w:szCs w:val="28"/>
        </w:rPr>
      </w:pPr>
      <w:r>
        <w:rPr>
          <w:color w:val="000000"/>
          <w:sz w:val="28"/>
          <w:szCs w:val="28"/>
        </w:rPr>
        <w:tab/>
        <w:tab/>
        <w:t>Решение об установлении единовременных выплат, единовременных поощрений руководителю учреждения принимает министр просвещения Республики Башкортостан.</w:t>
      </w:r>
    </w:p>
    <w:p>
      <w:pPr>
        <w:pStyle w:val="Normal"/>
        <w:widowControl/>
        <w:suppressAutoHyphens w:val="true"/>
        <w:bidi w:val="0"/>
        <w:spacing w:lineRule="auto" w:line="240" w:before="0" w:after="0"/>
        <w:ind w:hanging="0" w:left="0" w:right="283"/>
        <w:jc w:val="both"/>
        <w:rPr>
          <w:color w:val="000000"/>
          <w:sz w:val="28"/>
          <w:szCs w:val="28"/>
        </w:rPr>
      </w:pPr>
      <w:r>
        <w:rPr>
          <w:color w:val="000000"/>
          <w:sz w:val="28"/>
          <w:szCs w:val="28"/>
        </w:rPr>
        <w:tab/>
        <w:t>Материальная помощь и единовременная выплата к профессиональным и общегосударственным праздникам исполняющему обязанности руководителя учреждения (центра) выплачиваются по его основной должности, занимаемой в учреждении.</w:t>
      </w:r>
    </w:p>
    <w:p>
      <w:pPr>
        <w:pStyle w:val="Normal"/>
        <w:widowControl/>
        <w:suppressAutoHyphens w:val="true"/>
        <w:bidi w:val="0"/>
        <w:spacing w:lineRule="auto" w:line="240" w:before="0" w:after="122"/>
        <w:ind w:hanging="0" w:left="0" w:right="283"/>
        <w:jc w:val="both"/>
        <w:rPr>
          <w:color w:val="000000"/>
          <w:sz w:val="28"/>
          <w:szCs w:val="28"/>
        </w:rPr>
      </w:pPr>
      <w:r>
        <w:rPr>
          <w:color w:val="000000"/>
          <w:sz w:val="28"/>
          <w:szCs w:val="28"/>
        </w:rPr>
        <w:tab/>
        <w:t>10.16. В случае, если заработная плата работника, полностью отработавшего норму рабочего времени и выполнившего нормы труда, оказывается ниже установленного законодательством минимального размера оплаты труда (далее - МРОТ), работнику производится доплата до МРОТ в пределах установленного фонда оплаты труда.</w:t>
      </w:r>
    </w:p>
    <w:p>
      <w:pPr>
        <w:pStyle w:val="Default"/>
        <w:tabs>
          <w:tab w:val="clear" w:pos="708"/>
          <w:tab w:val="left" w:pos="3525" w:leader="none"/>
        </w:tabs>
        <w:jc w:val="center"/>
        <w:rPr>
          <w:b/>
          <w:sz w:val="28"/>
          <w:szCs w:val="28"/>
        </w:rPr>
      </w:pPr>
      <w:r>
        <w:rPr>
          <w:b/>
          <w:sz w:val="28"/>
          <w:szCs w:val="28"/>
        </w:rPr>
        <w:t>7. Другие вопросы оплаты труда</w:t>
      </w:r>
    </w:p>
    <w:p>
      <w:pPr>
        <w:pStyle w:val="ConsPlusNormal"/>
        <w:widowControl/>
        <w:ind w:hanging="0"/>
        <w:jc w:val="both"/>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firstLine="708"/>
        <w:jc w:val="both"/>
        <w:rPr>
          <w:rFonts w:ascii="Times New Roman" w:hAnsi="Times New Roman" w:cs="Times New Roman"/>
          <w:sz w:val="28"/>
          <w:szCs w:val="28"/>
        </w:rPr>
      </w:pPr>
      <w:r>
        <w:rPr>
          <w:rFonts w:cs="Times New Roman" w:ascii="Times New Roman" w:hAnsi="Times New Roman"/>
          <w:sz w:val="28"/>
          <w:szCs w:val="28"/>
        </w:rPr>
        <w:t xml:space="preserve">7.1. За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7.2. Педагогическая работа руководящих и других работников организации без занятия штатной должности в той же организации оплачивается дополнительно в порядке и по ставкам, предусмотренным по выполняемой педагогической работе, с учетом компенсационных и стимулирующих выплат.</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 xml:space="preserve">7.3. 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  </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7.4. Почасовая оплата труда педагогических работников организации применяется при оплате:</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за часы педагогической работы, выполненные в порядке замещения отсутствующих по болезни или другим причинам педагогических работников продолжавшегося не свыше двух месяцев;</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в организация для педагогической работы.</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Оплата труда за замещение отсутствующего педагогического работника, если оно осуществлялось свыше двух месяцев, производится со дня начала замещения за все часы фактической педагогической работы на общих основаниях с соответствующим увеличением недельной педагогической нагрузки педагогического работника путем внесения изменений в тарификацию.</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 xml:space="preserve">7.5. Изменение размеров повышающих коэффициентов к ставкам заработной платы, окладам (должностным окладам) работников организации производится при: </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увеличении стажа педагогической работы - со дня достижения соответствующего стажа, если документы находятся в организации, или со дня представления документа о стаже;</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присвоении квалификационной категории - со дня вынесения решения аттестационной комиссией.</w:t>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pPr>
        <w:pStyle w:val="Normal"/>
        <w:ind w:firstLine="709"/>
        <w:jc w:val="both"/>
        <w:rPr>
          <w:sz w:val="28"/>
          <w:szCs w:val="28"/>
        </w:rPr>
      </w:pPr>
      <w:r>
        <w:rPr>
          <w:sz w:val="28"/>
          <w:szCs w:val="28"/>
        </w:rPr>
      </w:r>
    </w:p>
    <w:p>
      <w:pPr>
        <w:pStyle w:val="ConsPlusNormal"/>
        <w:widowControl/>
        <w:numPr>
          <w:ilvl w:val="0"/>
          <w:numId w:val="0"/>
        </w:numPr>
        <w:ind w:firstLine="720" w:left="0"/>
        <w:jc w:val="center"/>
        <w:outlineLvl w:val="1"/>
        <w:rPr>
          <w:rFonts w:ascii="Times New Roman" w:hAnsi="Times New Roman" w:cs="Times New Roman"/>
          <w:b/>
          <w:bCs/>
          <w:iCs/>
          <w:sz w:val="28"/>
          <w:szCs w:val="28"/>
        </w:rPr>
      </w:pPr>
      <w:r>
        <w:rPr>
          <w:rFonts w:cs="Times New Roman" w:ascii="Times New Roman" w:hAnsi="Times New Roman"/>
          <w:b/>
          <w:bCs/>
          <w:iCs/>
          <w:sz w:val="28"/>
          <w:szCs w:val="28"/>
        </w:rPr>
      </w:r>
    </w:p>
    <w:p>
      <w:pPr>
        <w:pStyle w:val="ConsPlusNormal"/>
        <w:widowControl/>
        <w:numPr>
          <w:ilvl w:val="0"/>
          <w:numId w:val="0"/>
        </w:numPr>
        <w:ind w:firstLine="720" w:left="0"/>
        <w:jc w:val="center"/>
        <w:outlineLvl w:val="1"/>
        <w:rPr>
          <w:rFonts w:ascii="Times New Roman" w:hAnsi="Times New Roman" w:cs="Times New Roman"/>
          <w:b/>
          <w:sz w:val="28"/>
          <w:szCs w:val="28"/>
        </w:rPr>
      </w:pPr>
      <w:r>
        <w:rPr>
          <w:rFonts w:cs="Times New Roman" w:ascii="Times New Roman" w:hAnsi="Times New Roman"/>
          <w:b/>
          <w:bCs/>
          <w:iCs/>
          <w:sz w:val="28"/>
          <w:szCs w:val="28"/>
        </w:rPr>
        <w:t xml:space="preserve">8. </w:t>
      </w:r>
      <w:r>
        <w:rPr>
          <w:rFonts w:cs="Times New Roman" w:ascii="Times New Roman" w:hAnsi="Times New Roman"/>
          <w:b/>
          <w:sz w:val="28"/>
          <w:szCs w:val="28"/>
        </w:rPr>
        <w:t xml:space="preserve">Порядок определения </w:t>
      </w:r>
    </w:p>
    <w:p>
      <w:pPr>
        <w:pStyle w:val="ConsPlusNormal"/>
        <w:widowControl/>
        <w:numPr>
          <w:ilvl w:val="0"/>
          <w:numId w:val="0"/>
        </w:numPr>
        <w:ind w:firstLine="720" w:left="0"/>
        <w:jc w:val="center"/>
        <w:outlineLvl w:val="1"/>
        <w:rPr>
          <w:rFonts w:ascii="Times New Roman" w:hAnsi="Times New Roman" w:cs="Times New Roman"/>
          <w:b/>
          <w:sz w:val="28"/>
          <w:szCs w:val="28"/>
        </w:rPr>
      </w:pPr>
      <w:r>
        <w:rPr>
          <w:rFonts w:cs="Times New Roman" w:ascii="Times New Roman" w:hAnsi="Times New Roman"/>
          <w:b/>
          <w:sz w:val="28"/>
          <w:szCs w:val="28"/>
        </w:rPr>
        <w:t>стажа педагогической работы</w:t>
      </w:r>
    </w:p>
    <w:p>
      <w:pPr>
        <w:pStyle w:val="ConsPlusNormal"/>
        <w:widowContro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 xml:space="preserve">8.1. Стаж педагогической работы определяется на основании постановления Правительства Республики Башкортостан  </w:t>
      </w:r>
      <w:bookmarkStart w:id="5" w:name="__DdeLink__876_1812294048"/>
      <w:r>
        <w:rPr>
          <w:rFonts w:cs="Times New Roman" w:ascii="Times New Roman" w:hAnsi="Times New Roman"/>
          <w:sz w:val="28"/>
          <w:szCs w:val="28"/>
        </w:rPr>
        <w:t>от 27 октября 2008 года № 374  «Об оплате труда работников государственных учреждений образования Республики Башкортостан»,</w:t>
      </w:r>
      <w:bookmarkEnd w:id="5"/>
      <w:r>
        <w:rPr>
          <w:rFonts w:cs="Times New Roman" w:ascii="Times New Roman" w:hAnsi="Times New Roman"/>
          <w:sz w:val="28"/>
          <w:szCs w:val="28"/>
        </w:rPr>
        <w:t xml:space="preserve"> постановления Администрации муниципального района Дюртюлинский район Республики Башкортостан от 10.12.2025 № 730.</w:t>
      </w:r>
    </w:p>
    <w:p>
      <w:pPr>
        <w:pStyle w:val="ConsPlusNormal"/>
        <w:widowControl/>
        <w:ind w:hanging="0"/>
        <w:jc w:val="both"/>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720" w:left="0"/>
        <w:jc w:val="center"/>
        <w:outlineLvl w:val="1"/>
        <w:rPr>
          <w:rFonts w:ascii="Times New Roman" w:hAnsi="Times New Roman" w:cs="Times New Roman"/>
          <w:b/>
          <w:sz w:val="28"/>
          <w:szCs w:val="28"/>
        </w:rPr>
      </w:pPr>
      <w:r>
        <w:rPr>
          <w:rFonts w:cs="Times New Roman" w:ascii="Times New Roman" w:hAnsi="Times New Roman"/>
          <w:b/>
          <w:sz w:val="28"/>
          <w:szCs w:val="28"/>
        </w:rPr>
        <w:t>9. Порядок зачета в педагогический стаж времени работы в отдельных организациях, а также времени обучения в организациях высшего образования, профессиональных образовательных организациях и службы в Вооруженных Силах СССР и Российской Федерации</w:t>
      </w:r>
    </w:p>
    <w:p>
      <w:pPr>
        <w:pStyle w:val="ConsPlusNormal"/>
        <w:jc w:val="center"/>
        <w:rPr>
          <w:rFonts w:ascii="Times New Roman" w:hAnsi="Times New Roman" w:cs="Times New Roman"/>
          <w:sz w:val="28"/>
          <w:szCs w:val="28"/>
        </w:rPr>
      </w:pPr>
      <w:r>
        <w:rPr>
          <w:rFonts w:cs="Times New Roman" w:ascii="Times New Roman" w:hAnsi="Times New Roman"/>
          <w:sz w:val="28"/>
          <w:szCs w:val="28"/>
        </w:rPr>
      </w:r>
    </w:p>
    <w:p>
      <w:pPr>
        <w:pStyle w:val="ConsPlusNormal"/>
        <w:widowControl/>
        <w:ind w:firstLine="709"/>
        <w:jc w:val="both"/>
        <w:rPr>
          <w:rFonts w:ascii="Times New Roman" w:hAnsi="Times New Roman" w:cs="Times New Roman"/>
          <w:sz w:val="28"/>
          <w:szCs w:val="28"/>
        </w:rPr>
      </w:pPr>
      <w:r>
        <w:rPr>
          <w:rFonts w:cs="Times New Roman" w:ascii="Times New Roman" w:hAnsi="Times New Roman"/>
          <w:sz w:val="28"/>
          <w:szCs w:val="28"/>
        </w:rPr>
        <w:t>9.1. Порядок зачета в педагогический стаж времени работы в отдельных организациях, а также времени обучения в организациях высшего образования, профессиональных образовательных организациях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постановлением Администрации муниципального района Дюртюлинский район Республики Башкортостан от 10.12.2025 № 730</w:t>
      </w:r>
      <w:r>
        <w:rPr>
          <w:sz w:val="28"/>
          <w:szCs w:val="28"/>
        </w:rPr>
        <w:t xml:space="preserve"> </w:t>
      </w:r>
      <w:r>
        <w:rPr>
          <w:rFonts w:cs="Times New Roman" w:ascii="Times New Roman" w:hAnsi="Times New Roman"/>
          <w:sz w:val="28"/>
          <w:szCs w:val="28"/>
        </w:rPr>
        <w:t>.</w:t>
      </w:r>
    </w:p>
    <w:p>
      <w:pPr>
        <w:pStyle w:val="ConsPlusNormal"/>
        <w:widowControl/>
        <w:ind w:hanging="0"/>
        <w:jc w:val="both"/>
        <w:rPr>
          <w:rFonts w:ascii="Times New Roman" w:hAnsi="Times New Roman" w:cs="Times New Roman"/>
          <w:sz w:val="28"/>
          <w:szCs w:val="28"/>
        </w:rPr>
      </w:pPr>
      <w:r>
        <w:rPr>
          <w:rFonts w:cs="Times New Roman" w:ascii="Times New Roman" w:hAnsi="Times New Roman"/>
          <w:sz w:val="28"/>
          <w:szCs w:val="28"/>
        </w:rPr>
      </w:r>
    </w:p>
    <w:p>
      <w:pPr>
        <w:pStyle w:val="ConsNormal"/>
        <w:widowControl/>
        <w:ind w:hanging="0" w:right="0"/>
        <w:jc w:val="center"/>
        <w:rPr>
          <w:rFonts w:ascii="Times New Roman" w:hAnsi="Times New Roman" w:cs="Times New Roman"/>
          <w:b/>
          <w:sz w:val="28"/>
          <w:szCs w:val="28"/>
        </w:rPr>
      </w:pPr>
      <w:r>
        <w:rPr>
          <w:rFonts w:cs="Times New Roman" w:ascii="Times New Roman" w:hAnsi="Times New Roman"/>
          <w:b/>
          <w:sz w:val="28"/>
          <w:szCs w:val="28"/>
        </w:rPr>
        <w:t>10. Объемные показатели деятельности организации и порядок</w:t>
      </w:r>
    </w:p>
    <w:p>
      <w:pPr>
        <w:pStyle w:val="ConsNormal"/>
        <w:widowControl/>
        <w:ind w:hanging="0" w:right="0"/>
        <w:jc w:val="center"/>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отнесения к группе по оплате труда руководителя</w:t>
      </w:r>
    </w:p>
    <w:p>
      <w:pPr>
        <w:pStyle w:val="ConsNormal"/>
        <w:widowControl/>
        <w:ind w:hanging="0" w:right="0"/>
        <w:jc w:val="center"/>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firstLine="720" w:left="0"/>
        <w:jc w:val="both"/>
        <w:outlineLvl w:val="1"/>
        <w:rPr>
          <w:rFonts w:ascii="Times New Roman" w:hAnsi="Times New Roman" w:cs="Times New Roman"/>
          <w:sz w:val="28"/>
          <w:szCs w:val="28"/>
        </w:rPr>
      </w:pPr>
      <w:r>
        <w:rPr>
          <w:rFonts w:cs="Times New Roman" w:ascii="Times New Roman" w:hAnsi="Times New Roman"/>
          <w:sz w:val="28"/>
          <w:szCs w:val="28"/>
        </w:rPr>
        <w:t>10.1. Объемные показатели деятельности организации и порядок отнесения ее к группе по оплате труда руководителя определяются в соответствии с постановлением Администрации муниципального района Дюртюлинский район Республики Башкортостан от 10.12.2025 № 730.</w:t>
      </w:r>
    </w:p>
    <w:sectPr>
      <w:headerReference w:type="even" r:id="rId7"/>
      <w:headerReference w:type="default" r:id="rId8"/>
      <w:headerReference w:type="first" r:id="rId9"/>
      <w:type w:val="nextPage"/>
      <w:pgSz w:w="11906" w:h="16838"/>
      <w:pgMar w:left="1418" w:right="851" w:gutter="0" w:header="851" w:top="908" w:footer="0" w:bottom="737"/>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swiss"/>
    <w:pitch w:val="variable"/>
  </w:font>
  <w:font w:name="Cambria">
    <w:charset w:val="01"/>
    <w:family w:val="roman"/>
    <w:pitch w:val="variable"/>
  </w:font>
  <w:font w:name="Tahoma">
    <w:charset w:val="01"/>
    <w:family w:val="swiss"/>
    <w:pitch w:val="variable"/>
  </w:font>
  <w:font w:name="Courier New">
    <w:charset w:val="01"/>
    <w:family w:val="roman"/>
    <w:pitch w:val="variable"/>
  </w:font>
  <w:font w:name="Liberation Sans">
    <w:altName w:val="Arial"/>
    <w:charset w:val="01"/>
    <w:family w:val="swiss"/>
    <w:pitch w:val="variable"/>
  </w:font>
  <w:font w:name="Arial Unicode MS">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38">
              <wp:simplePos x="0" y="0"/>
              <wp:positionH relativeFrom="margin">
                <wp:align>center</wp:align>
              </wp:positionH>
              <wp:positionV relativeFrom="paragraph">
                <wp:posOffset>635</wp:posOffset>
              </wp:positionV>
              <wp:extent cx="14605" cy="14605"/>
              <wp:effectExtent l="0" t="0" r="0" b="0"/>
              <wp:wrapSquare wrapText="bothSides"/>
              <wp:docPr id="3"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36">
              <wp:simplePos x="0" y="0"/>
              <wp:positionH relativeFrom="margin">
                <wp:align>center</wp:align>
              </wp:positionH>
              <wp:positionV relativeFrom="paragraph">
                <wp:posOffset>635</wp:posOffset>
              </wp:positionV>
              <wp:extent cx="153035" cy="173990"/>
              <wp:effectExtent l="0" t="0" r="0" b="0"/>
              <wp:wrapSquare wrapText="bothSides"/>
              <wp:docPr id="4" name="Врезка3"/>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234.85pt;margin-top:0.05pt;width:12pt;height:13.6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Body Text 2" w:uiPriority="0"/>
    <w:lsdException w:name="Body Text 3" w:uiPriority="0"/>
    <w:lsdException w:name="Body Text Indent 2" w:uiPriority="0"/>
    <w:lsdException w:name="Body Text Indent 3" w:uiPriority="0"/>
    <w:lsdException w:name="Strong" w:uiPriority="22" w:semiHidden="0" w:unhideWhenUsed="0" w:qFormat="1"/>
    <w:lsdException w:name="Emphasis" w:uiPriority="20" w:semiHidden="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a4276"/>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4a4276"/>
    <w:pPr>
      <w:keepNext w:val="true"/>
      <w:spacing w:lineRule="exact" w:line="300"/>
      <w:jc w:val="center"/>
      <w:outlineLvl w:val="0"/>
    </w:pPr>
    <w:rPr>
      <w:b/>
      <w:bCs/>
      <w:szCs w:val="20"/>
    </w:rPr>
  </w:style>
  <w:style w:type="paragraph" w:styleId="Heading2">
    <w:name w:val="heading 2"/>
    <w:basedOn w:val="Normal"/>
    <w:next w:val="Normal"/>
    <w:link w:val="2"/>
    <w:qFormat/>
    <w:rsid w:val="004a4276"/>
    <w:pPr>
      <w:keepNext w:val="true"/>
      <w:spacing w:before="240" w:after="60"/>
      <w:outlineLvl w:val="1"/>
    </w:pPr>
    <w:rPr>
      <w:rFonts w:ascii="Arial" w:hAnsi="Arial" w:cs="Arial"/>
      <w:b/>
      <w:bCs/>
      <w:i/>
      <w:iCs/>
      <w:sz w:val="28"/>
      <w:szCs w:val="28"/>
    </w:rPr>
  </w:style>
  <w:style w:type="paragraph" w:styleId="Heading3">
    <w:name w:val="heading 3"/>
    <w:basedOn w:val="Normal"/>
    <w:next w:val="Normal"/>
    <w:link w:val="32"/>
    <w:uiPriority w:val="9"/>
    <w:semiHidden/>
    <w:unhideWhenUsed/>
    <w:qFormat/>
    <w:rsid w:val="008b66c9"/>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4a4276"/>
    <w:rPr>
      <w:rFonts w:ascii="Times New Roman" w:hAnsi="Times New Roman" w:eastAsia="Times New Roman" w:cs="Times New Roman"/>
      <w:b/>
      <w:bCs/>
      <w:sz w:val="24"/>
      <w:szCs w:val="20"/>
      <w:lang w:eastAsia="ru-RU"/>
    </w:rPr>
  </w:style>
  <w:style w:type="character" w:styleId="2" w:customStyle="1">
    <w:name w:val="Заголовок 2 Знак"/>
    <w:basedOn w:val="DefaultParagraphFont"/>
    <w:qFormat/>
    <w:rsid w:val="004a4276"/>
    <w:rPr>
      <w:rFonts w:ascii="Arial" w:hAnsi="Arial" w:eastAsia="Times New Roman" w:cs="Arial"/>
      <w:b/>
      <w:bCs/>
      <w:i/>
      <w:iCs/>
      <w:sz w:val="28"/>
      <w:szCs w:val="28"/>
      <w:lang w:eastAsia="ru-RU"/>
    </w:rPr>
  </w:style>
  <w:style w:type="character" w:styleId="21" w:customStyle="1">
    <w:name w:val="Основной текст с отступом 2 Знак"/>
    <w:basedOn w:val="DefaultParagraphFont"/>
    <w:link w:val="BodyTextIndent2"/>
    <w:qFormat/>
    <w:rsid w:val="004a4276"/>
    <w:rPr>
      <w:rFonts w:ascii="Times New Roman" w:hAnsi="Times New Roman" w:eastAsia="Times New Roman" w:cs="Times New Roman"/>
      <w:sz w:val="30"/>
      <w:szCs w:val="24"/>
      <w:lang w:eastAsia="ru-RU"/>
    </w:rPr>
  </w:style>
  <w:style w:type="character" w:styleId="Style11" w:customStyle="1">
    <w:name w:val="Основной текст Знак"/>
    <w:basedOn w:val="DefaultParagraphFont"/>
    <w:qFormat/>
    <w:rsid w:val="004a4276"/>
    <w:rPr>
      <w:rFonts w:ascii="Times New Roman" w:hAnsi="Times New Roman" w:eastAsia="Times New Roman" w:cs="Times New Roman"/>
      <w:b/>
      <w:bCs/>
      <w:sz w:val="30"/>
      <w:szCs w:val="24"/>
      <w:shd w:fill="FFFFFF" w:val="clear"/>
      <w:lang w:eastAsia="ru-RU"/>
    </w:rPr>
  </w:style>
  <w:style w:type="character" w:styleId="22" w:customStyle="1">
    <w:name w:val="Основной текст 2 Знак"/>
    <w:basedOn w:val="DefaultParagraphFont"/>
    <w:link w:val="BodyText2"/>
    <w:qFormat/>
    <w:rsid w:val="004a4276"/>
    <w:rPr>
      <w:rFonts w:ascii="Times New Roman" w:hAnsi="Times New Roman" w:eastAsia="Times New Roman" w:cs="Times New Roman"/>
      <w:sz w:val="24"/>
      <w:szCs w:val="24"/>
      <w:lang w:eastAsia="ru-RU"/>
    </w:rPr>
  </w:style>
  <w:style w:type="character" w:styleId="Style12" w:customStyle="1">
    <w:name w:val="Основной текст с отступом Знак"/>
    <w:basedOn w:val="DefaultParagraphFont"/>
    <w:qFormat/>
    <w:rsid w:val="004a4276"/>
    <w:rPr>
      <w:rFonts w:ascii="Times New Roman" w:hAnsi="Times New Roman" w:eastAsia="Times New Roman" w:cs="Times New Roman"/>
      <w:sz w:val="24"/>
      <w:szCs w:val="24"/>
      <w:lang w:eastAsia="ru-RU"/>
    </w:rPr>
  </w:style>
  <w:style w:type="character" w:styleId="3" w:customStyle="1">
    <w:name w:val="Основной текст с отступом 3 Знак"/>
    <w:basedOn w:val="DefaultParagraphFont"/>
    <w:link w:val="BodyTextIndent3"/>
    <w:qFormat/>
    <w:rsid w:val="004a4276"/>
    <w:rPr>
      <w:rFonts w:ascii="Times New Roman" w:hAnsi="Times New Roman" w:eastAsia="Times New Roman" w:cs="Times New Roman"/>
      <w:sz w:val="16"/>
      <w:szCs w:val="16"/>
      <w:lang w:eastAsia="ru-RU"/>
    </w:rPr>
  </w:style>
  <w:style w:type="character" w:styleId="31" w:customStyle="1">
    <w:name w:val="Основной текст 3 Знак"/>
    <w:basedOn w:val="DefaultParagraphFont"/>
    <w:link w:val="BodyText3"/>
    <w:qFormat/>
    <w:rsid w:val="004a4276"/>
    <w:rPr>
      <w:rFonts w:ascii="Times New Roman" w:hAnsi="Times New Roman" w:eastAsia="Times New Roman" w:cs="Times New Roman"/>
      <w:sz w:val="16"/>
      <w:szCs w:val="16"/>
      <w:lang w:eastAsia="ru-RU"/>
    </w:rPr>
  </w:style>
  <w:style w:type="character" w:styleId="Style13" w:customStyle="1">
    <w:name w:val="Верхний колонтитул Знак"/>
    <w:basedOn w:val="DefaultParagraphFont"/>
    <w:qFormat/>
    <w:rsid w:val="004a4276"/>
    <w:rPr>
      <w:rFonts w:ascii="Times New Roman" w:hAnsi="Times New Roman" w:eastAsia="Times New Roman" w:cs="Times New Roman"/>
      <w:sz w:val="24"/>
      <w:szCs w:val="24"/>
      <w:lang w:eastAsia="ru-RU"/>
    </w:rPr>
  </w:style>
  <w:style w:type="character" w:styleId="PageNumber">
    <w:name w:val="page number"/>
    <w:basedOn w:val="DefaultParagraphFont"/>
    <w:rsid w:val="004a4276"/>
    <w:rPr/>
  </w:style>
  <w:style w:type="character" w:styleId="Style14" w:customStyle="1">
    <w:name w:val="Нижний колонтитул Знак"/>
    <w:basedOn w:val="DefaultParagraphFont"/>
    <w:qFormat/>
    <w:rsid w:val="004a4276"/>
    <w:rPr>
      <w:rFonts w:ascii="Times New Roman" w:hAnsi="Times New Roman" w:eastAsia="Times New Roman" w:cs="Times New Roman"/>
      <w:sz w:val="24"/>
      <w:szCs w:val="24"/>
      <w:lang w:eastAsia="ru-RU"/>
    </w:rPr>
  </w:style>
  <w:style w:type="character" w:styleId="Style15" w:customStyle="1">
    <w:name w:val="Текст выноски Знак"/>
    <w:basedOn w:val="DefaultParagraphFont"/>
    <w:link w:val="BalloonText"/>
    <w:semiHidden/>
    <w:qFormat/>
    <w:rsid w:val="004a4276"/>
    <w:rPr>
      <w:rFonts w:ascii="Tahoma" w:hAnsi="Tahoma" w:eastAsia="Times New Roman" w:cs="Tahoma"/>
      <w:sz w:val="16"/>
      <w:szCs w:val="16"/>
      <w:lang w:eastAsia="ru-RU"/>
    </w:rPr>
  </w:style>
  <w:style w:type="character" w:styleId="Style16" w:customStyle="1">
    <w:name w:val="Текст Знак"/>
    <w:basedOn w:val="DefaultParagraphFont"/>
    <w:link w:val="PlainText"/>
    <w:qFormat/>
    <w:rsid w:val="004a4276"/>
    <w:rPr>
      <w:rFonts w:ascii="Courier New" w:hAnsi="Courier New" w:eastAsia="Times New Roman" w:cs="Courier New"/>
      <w:sz w:val="20"/>
      <w:szCs w:val="20"/>
      <w:lang w:eastAsia="ru-RU"/>
    </w:rPr>
  </w:style>
  <w:style w:type="character" w:styleId="HTML" w:customStyle="1">
    <w:name w:val="Стандартный HTML Знак"/>
    <w:basedOn w:val="DefaultParagraphFont"/>
    <w:link w:val="HTMLPreformatted"/>
    <w:qFormat/>
    <w:rsid w:val="00e008b8"/>
    <w:rPr>
      <w:rFonts w:ascii="Courier New" w:hAnsi="Courier New" w:eastAsia="Times New Roman" w:cs="Times New Roman"/>
      <w:sz w:val="20"/>
      <w:szCs w:val="20"/>
    </w:rPr>
  </w:style>
  <w:style w:type="character" w:styleId="32" w:customStyle="1">
    <w:name w:val="Заголовок 3 Знак"/>
    <w:basedOn w:val="DefaultParagraphFont"/>
    <w:uiPriority w:val="9"/>
    <w:semiHidden/>
    <w:qFormat/>
    <w:rsid w:val="008b66c9"/>
    <w:rPr>
      <w:rFonts w:ascii="Cambria" w:hAnsi="Cambria" w:eastAsia="" w:cs="" w:asciiTheme="majorHAnsi" w:cstheme="majorBidi" w:eastAsiaTheme="majorEastAsia" w:hAnsiTheme="majorHAnsi"/>
      <w:b/>
      <w:bCs/>
      <w:color w:themeColor="accent1" w:val="4F81BD"/>
      <w:sz w:val="24"/>
      <w:szCs w:val="24"/>
      <w:lang w:eastAsia="ru-RU"/>
    </w:rPr>
  </w:style>
  <w:style w:type="character" w:styleId="A0" w:customStyle="1">
    <w:name w:val="A0"/>
    <w:qFormat/>
    <w:rsid w:val="008b66c9"/>
    <w:rPr>
      <w:color w:val="000000"/>
      <w:sz w:val="20"/>
    </w:rPr>
  </w:style>
  <w:style w:type="character" w:styleId="Hyperlink">
    <w:name w:val="Hyperlink"/>
    <w:rPr>
      <w:color w:val="000080"/>
      <w:u w:val="single"/>
    </w:rPr>
  </w:style>
  <w:style w:type="paragraph" w:styleId="Style17">
    <w:name w:val="Заголовок"/>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link w:val="Style11"/>
    <w:rsid w:val="004a4276"/>
    <w:pPr>
      <w:shd w:val="clear" w:color="auto" w:fill="FFFFFF"/>
    </w:pPr>
    <w:rPr>
      <w:b/>
      <w:bCs/>
      <w:sz w:val="30"/>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Style18">
    <w:name w:val="Указатель"/>
    <w:basedOn w:val="Normal"/>
    <w:qFormat/>
    <w:pPr>
      <w:suppressLineNumbers/>
    </w:pPr>
    <w:rPr>
      <w:rFonts w:cs="FreeSans"/>
    </w:rPr>
  </w:style>
  <w:style w:type="paragraph" w:styleId="user">
    <w:name w:val="Заголовок (user)"/>
    <w:basedOn w:val="Normal"/>
    <w:next w:val="BodyText"/>
    <w:qFormat/>
    <w:pPr>
      <w:keepNext w:val="true"/>
      <w:spacing w:before="240" w:after="120"/>
    </w:pPr>
    <w:rPr>
      <w:rFonts w:ascii="Liberation Sans" w:hAnsi="Liberation Sans" w:eastAsia="Noto Sans CJK SC" w:cs="FreeSans"/>
      <w:sz w:val="28"/>
      <w:szCs w:val="28"/>
    </w:rPr>
  </w:style>
  <w:style w:type="paragraph" w:styleId="user1">
    <w:name w:val="Указатель (user)"/>
    <w:basedOn w:val="Normal"/>
    <w:qFormat/>
    <w:pPr>
      <w:suppressLineNumbers/>
    </w:pPr>
    <w:rPr>
      <w:rFonts w:cs="FreeSans"/>
    </w:rPr>
  </w:style>
  <w:style w:type="paragraph" w:styleId="ConsPlusNormal" w:customStyle="1">
    <w:name w:val="ConsPlusNormal"/>
    <w:qFormat/>
    <w:rsid w:val="004a4276"/>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BodyTextIndent2">
    <w:name w:val="Body Text Indent 2"/>
    <w:basedOn w:val="Normal"/>
    <w:link w:val="21"/>
    <w:qFormat/>
    <w:rsid w:val="004a4276"/>
    <w:pPr>
      <w:spacing w:before="60" w:after="0"/>
      <w:ind w:firstLine="720"/>
      <w:jc w:val="center"/>
    </w:pPr>
    <w:rPr>
      <w:sz w:val="30"/>
    </w:rPr>
  </w:style>
  <w:style w:type="paragraph" w:styleId="11" w:customStyle="1">
    <w:name w:val="Цитата1"/>
    <w:basedOn w:val="Normal"/>
    <w:qFormat/>
    <w:rsid w:val="004a4276"/>
    <w:pPr>
      <w:widowControl w:val="false"/>
      <w:shd w:val="clear" w:color="auto" w:fill="FFFFFF"/>
      <w:ind w:left="1075" w:right="922"/>
      <w:jc w:val="center"/>
    </w:pPr>
    <w:rPr>
      <w:b/>
      <w:sz w:val="28"/>
      <w:szCs w:val="20"/>
    </w:rPr>
  </w:style>
  <w:style w:type="paragraph" w:styleId="Style19" w:customStyle="1">
    <w:name w:val="....... (...)"/>
    <w:basedOn w:val="Normal"/>
    <w:next w:val="Normal"/>
    <w:qFormat/>
    <w:rsid w:val="004a4276"/>
    <w:pPr>
      <w:spacing w:before="100" w:after="100"/>
    </w:pPr>
    <w:rPr/>
  </w:style>
  <w:style w:type="paragraph" w:styleId="BodyText2">
    <w:name w:val="Body Text 2"/>
    <w:basedOn w:val="Normal"/>
    <w:link w:val="22"/>
    <w:qFormat/>
    <w:rsid w:val="004a4276"/>
    <w:pPr>
      <w:spacing w:lineRule="auto" w:line="480" w:before="0" w:after="120"/>
    </w:pPr>
    <w:rPr/>
  </w:style>
  <w:style w:type="paragraph" w:styleId="BodyTextIndent">
    <w:name w:val="Body Text Indent"/>
    <w:basedOn w:val="Normal"/>
    <w:link w:val="Style12"/>
    <w:rsid w:val="004a4276"/>
    <w:pPr>
      <w:spacing w:before="0" w:after="120"/>
      <w:ind w:left="283"/>
    </w:pPr>
    <w:rPr/>
  </w:style>
  <w:style w:type="paragraph" w:styleId="Style20" w:customStyle="1">
    <w:name w:val="......."/>
    <w:basedOn w:val="Normal"/>
    <w:next w:val="Normal"/>
    <w:qFormat/>
    <w:rsid w:val="004a4276"/>
    <w:pPr/>
    <w:rPr/>
  </w:style>
  <w:style w:type="paragraph" w:styleId="BodyTextIndent3">
    <w:name w:val="Body Text Indent 3"/>
    <w:basedOn w:val="Normal"/>
    <w:link w:val="3"/>
    <w:qFormat/>
    <w:rsid w:val="004a4276"/>
    <w:pPr>
      <w:spacing w:before="0" w:after="120"/>
      <w:ind w:left="283"/>
    </w:pPr>
    <w:rPr>
      <w:sz w:val="16"/>
      <w:szCs w:val="16"/>
    </w:rPr>
  </w:style>
  <w:style w:type="paragraph" w:styleId="BodyText3">
    <w:name w:val="Body Text 3"/>
    <w:basedOn w:val="Normal"/>
    <w:link w:val="31"/>
    <w:qFormat/>
    <w:rsid w:val="004a4276"/>
    <w:pPr>
      <w:spacing w:before="0" w:after="120"/>
    </w:pPr>
    <w:rPr>
      <w:sz w:val="16"/>
      <w:szCs w:val="16"/>
    </w:rPr>
  </w:style>
  <w:style w:type="paragraph" w:styleId="ConsPlusNonformat" w:customStyle="1">
    <w:name w:val="ConsPlusNonformat"/>
    <w:uiPriority w:val="99"/>
    <w:qFormat/>
    <w:rsid w:val="004a4276"/>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211" w:customStyle="1">
    <w:name w:val="Основной текст с отступом 21"/>
    <w:basedOn w:val="Normal"/>
    <w:qFormat/>
    <w:rsid w:val="004a4276"/>
    <w:pPr>
      <w:suppressAutoHyphens w:val="true"/>
      <w:ind w:firstLine="900"/>
      <w:jc w:val="both"/>
    </w:pPr>
    <w:rPr>
      <w:sz w:val="28"/>
      <w:szCs w:val="20"/>
      <w:lang w:eastAsia="ar-SA"/>
    </w:rPr>
  </w:style>
  <w:style w:type="paragraph" w:styleId="23" w:customStyle="1">
    <w:name w:val="........ ..... . ........ 2"/>
    <w:basedOn w:val="Normal"/>
    <w:next w:val="Normal"/>
    <w:qFormat/>
    <w:rsid w:val="004a4276"/>
    <w:pPr/>
    <w:rPr/>
  </w:style>
  <w:style w:type="paragraph" w:styleId="Style21" w:customStyle="1">
    <w:name w:val="........ ..... . ........"/>
    <w:basedOn w:val="Normal"/>
    <w:next w:val="Normal"/>
    <w:qFormat/>
    <w:rsid w:val="004a4276"/>
    <w:pPr/>
    <w:rPr/>
  </w:style>
  <w:style w:type="paragraph" w:styleId="Default" w:customStyle="1">
    <w:name w:val="Default"/>
    <w:qFormat/>
    <w:rsid w:val="004a4276"/>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33" w:customStyle="1">
    <w:name w:val="........ ..... . ........ 3"/>
    <w:basedOn w:val="Default"/>
    <w:next w:val="Default"/>
    <w:qFormat/>
    <w:rsid w:val="004a4276"/>
    <w:pPr/>
    <w:rPr>
      <w:color w:val="auto"/>
    </w:rPr>
  </w:style>
  <w:style w:type="paragraph" w:styleId="Style22" w:customStyle="1">
    <w:name w:val="...... . ......."/>
    <w:basedOn w:val="Default"/>
    <w:next w:val="Default"/>
    <w:qFormat/>
    <w:rsid w:val="004a4276"/>
    <w:pPr/>
    <w:rPr>
      <w:color w:val="auto"/>
    </w:rPr>
  </w:style>
  <w:style w:type="paragraph" w:styleId="Style23">
    <w:name w:val="Верхний и нижний колонтитулы"/>
    <w:basedOn w:val="Normal"/>
    <w:qFormat/>
    <w:pPr/>
    <w:rPr/>
  </w:style>
  <w:style w:type="paragraph" w:styleId="user2">
    <w:name w:val="Верхний и нижний колонтитулы (user)"/>
    <w:basedOn w:val="Normal"/>
    <w:qFormat/>
    <w:pPr/>
    <w:rPr/>
  </w:style>
  <w:style w:type="paragraph" w:styleId="Header">
    <w:name w:val="header"/>
    <w:basedOn w:val="Normal"/>
    <w:link w:val="Style13"/>
    <w:rsid w:val="004a4276"/>
    <w:pPr>
      <w:tabs>
        <w:tab w:val="clear" w:pos="708"/>
        <w:tab w:val="center" w:pos="4677" w:leader="none"/>
        <w:tab w:val="right" w:pos="9355" w:leader="none"/>
      </w:tabs>
    </w:pPr>
    <w:rPr/>
  </w:style>
  <w:style w:type="paragraph" w:styleId="ConsNormal" w:customStyle="1">
    <w:name w:val="ConsNormal"/>
    <w:qFormat/>
    <w:rsid w:val="004a4276"/>
    <w:pPr>
      <w:widowControl w:val="false"/>
      <w:suppressAutoHyphens w:val="true"/>
      <w:bidi w:val="0"/>
      <w:spacing w:lineRule="auto" w:line="240" w:before="0" w:after="0"/>
      <w:ind w:firstLine="720" w:right="19772"/>
      <w:jc w:val="left"/>
    </w:pPr>
    <w:rPr>
      <w:rFonts w:ascii="Arial" w:hAnsi="Arial" w:eastAsia="Times New Roman" w:cs="Arial"/>
      <w:color w:val="auto"/>
      <w:kern w:val="0"/>
      <w:sz w:val="20"/>
      <w:szCs w:val="20"/>
      <w:lang w:val="ru-RU" w:eastAsia="en-US" w:bidi="ar-SA"/>
    </w:rPr>
  </w:style>
  <w:style w:type="paragraph" w:styleId="Footer">
    <w:name w:val="footer"/>
    <w:basedOn w:val="Normal"/>
    <w:link w:val="Style14"/>
    <w:rsid w:val="004a4276"/>
    <w:pPr>
      <w:tabs>
        <w:tab w:val="clear" w:pos="708"/>
        <w:tab w:val="center" w:pos="4677" w:leader="none"/>
        <w:tab w:val="right" w:pos="9355" w:leader="none"/>
      </w:tabs>
    </w:pPr>
    <w:rPr/>
  </w:style>
  <w:style w:type="paragraph" w:styleId="BalloonText">
    <w:name w:val="Balloon Text"/>
    <w:basedOn w:val="Normal"/>
    <w:link w:val="Style15"/>
    <w:semiHidden/>
    <w:qFormat/>
    <w:rsid w:val="004a4276"/>
    <w:pPr/>
    <w:rPr>
      <w:rFonts w:ascii="Tahoma" w:hAnsi="Tahoma" w:cs="Tahoma"/>
      <w:sz w:val="16"/>
      <w:szCs w:val="16"/>
    </w:rPr>
  </w:style>
  <w:style w:type="paragraph" w:styleId="ConsPlusTitle" w:customStyle="1">
    <w:name w:val="ConsPlusTitle"/>
    <w:qFormat/>
    <w:rsid w:val="004a4276"/>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ru-RU" w:bidi="ar-SA"/>
    </w:rPr>
  </w:style>
  <w:style w:type="paragraph" w:styleId="PlainText">
    <w:name w:val="Plain Text"/>
    <w:basedOn w:val="Normal"/>
    <w:link w:val="Style16"/>
    <w:qFormat/>
    <w:rsid w:val="004a4276"/>
    <w:pPr/>
    <w:rPr>
      <w:rFonts w:ascii="Courier New" w:hAnsi="Courier New" w:cs="Courier New"/>
      <w:sz w:val="20"/>
      <w:szCs w:val="20"/>
    </w:rPr>
  </w:style>
  <w:style w:type="paragraph" w:styleId="12" w:customStyle="1">
    <w:name w:val="Нижний колонтитул1"/>
    <w:autoRedefine/>
    <w:qFormat/>
    <w:rsid w:val="004a4276"/>
    <w:pPr>
      <w:widowControl/>
      <w:tabs>
        <w:tab w:val="clear" w:pos="708"/>
        <w:tab w:val="center" w:pos="4677" w:leader="none"/>
        <w:tab w:val="right" w:pos="9355" w:leader="none"/>
      </w:tabs>
      <w:suppressAutoHyphens w:val="true"/>
      <w:bidi w:val="0"/>
      <w:spacing w:lineRule="auto" w:line="240" w:before="0" w:after="0"/>
      <w:jc w:val="left"/>
    </w:pPr>
    <w:rPr>
      <w:rFonts w:ascii="Times New Roman" w:hAnsi="Times New Roman" w:eastAsia="ヒラギノ角ゴ Pro W3" w:cs="Times New Roman"/>
      <w:color w:val="000000"/>
      <w:kern w:val="0"/>
      <w:sz w:val="22"/>
      <w:szCs w:val="20"/>
      <w:lang w:val="ru-RU" w:eastAsia="ru-RU" w:bidi="ar-SA"/>
    </w:rPr>
  </w:style>
  <w:style w:type="paragraph" w:styleId="13" w:customStyle="1">
    <w:name w:val="Обычный1"/>
    <w:autoRedefine/>
    <w:qFormat/>
    <w:rsid w:val="004a4276"/>
    <w:pPr>
      <w:widowControl/>
      <w:tabs>
        <w:tab w:val="clear" w:pos="708"/>
        <w:tab w:val="left" w:pos="0" w:leader="none"/>
        <w:tab w:val="left" w:pos="720" w:leader="none"/>
      </w:tabs>
      <w:suppressAutoHyphens w:val="true"/>
      <w:bidi w:val="0"/>
      <w:spacing w:lineRule="auto" w:line="240" w:before="0" w:after="0"/>
      <w:jc w:val="both"/>
    </w:pPr>
    <w:rPr>
      <w:rFonts w:ascii="Times New Roman" w:hAnsi="Times New Roman" w:eastAsia="ヒラギノ角ゴ Pro W3" w:cs="Times New Roman"/>
      <w:color w:val="000000"/>
      <w:kern w:val="0"/>
      <w:sz w:val="28"/>
      <w:szCs w:val="28"/>
      <w:lang w:val="ru-RU" w:eastAsia="ru-RU" w:bidi="ar-SA"/>
    </w:rPr>
  </w:style>
  <w:style w:type="paragraph" w:styleId="ConsPlusCell" w:customStyle="1">
    <w:name w:val="ConsPlusCell"/>
    <w:qFormat/>
    <w:rsid w:val="004a4276"/>
    <w:pPr>
      <w:widowControl/>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NormalWeb">
    <w:name w:val="Normal (Web)"/>
    <w:basedOn w:val="Normal"/>
    <w:qFormat/>
    <w:rsid w:val="004a4276"/>
    <w:pPr>
      <w:spacing w:beforeAutospacing="1" w:afterAutospacing="1"/>
    </w:pPr>
    <w:rPr>
      <w:rFonts w:ascii="Arial Unicode MS" w:hAnsi="Arial Unicode MS" w:eastAsia="Arial Unicode MS" w:cs="Arial Unicode MS"/>
    </w:rPr>
  </w:style>
  <w:style w:type="paragraph" w:styleId="HTMLPreformatted">
    <w:name w:val="HTML Preformatted"/>
    <w:basedOn w:val="Normal"/>
    <w:link w:val="HTML"/>
    <w:qFormat/>
    <w:rsid w:val="00e008b8"/>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paragraph" w:styleId="Pa5" w:customStyle="1">
    <w:name w:val="Pa5"/>
    <w:basedOn w:val="Default"/>
    <w:next w:val="Default"/>
    <w:qFormat/>
    <w:rsid w:val="008b66c9"/>
    <w:pPr>
      <w:spacing w:lineRule="atLeast" w:line="241"/>
    </w:pPr>
    <w:rPr>
      <w:color w:val="auto"/>
    </w:rPr>
  </w:style>
  <w:style w:type="paragraph" w:styleId="Pa7" w:customStyle="1">
    <w:name w:val="Pa7"/>
    <w:basedOn w:val="Default"/>
    <w:next w:val="Default"/>
    <w:qFormat/>
    <w:rsid w:val="008b66c9"/>
    <w:pPr>
      <w:spacing w:lineRule="atLeast" w:line="241"/>
    </w:pPr>
    <w:rPr>
      <w:color w:val="auto"/>
    </w:rPr>
  </w:style>
  <w:style w:type="paragraph" w:styleId="Pa4" w:customStyle="1">
    <w:name w:val="Pa4"/>
    <w:basedOn w:val="Default"/>
    <w:next w:val="Default"/>
    <w:qFormat/>
    <w:rsid w:val="008b66c9"/>
    <w:pPr>
      <w:spacing w:lineRule="atLeast" w:line="241"/>
    </w:pPr>
    <w:rPr>
      <w:color w:val="auto"/>
    </w:rPr>
  </w:style>
  <w:style w:type="paragraph" w:styleId="Style24">
    <w:name w:val="Содержимое врезки"/>
    <w:basedOn w:val="Normal"/>
    <w:qFormat/>
    <w:pPr/>
    <w:rPr/>
  </w:style>
  <w:style w:type="paragraph" w:styleId="user3">
    <w:name w:val="Содержимое врезки (user)"/>
    <w:basedOn w:val="Normal"/>
    <w:qFormat/>
    <w:pPr/>
    <w:rPr/>
  </w:style>
  <w:style w:type="paragraph" w:styleId="user4">
    <w:name w:val="Содержимое таблицы (user)"/>
    <w:basedOn w:val="Normal"/>
    <w:qFormat/>
    <w:pPr>
      <w:widowControl w:val="false"/>
      <w:suppressLineNumbers/>
    </w:pPr>
    <w:rPr/>
  </w:style>
  <w:style w:type="numbering" w:styleId="Style25"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9">
    <w:name w:val="Table Grid"/>
    <w:basedOn w:val="a1"/>
    <w:rsid w:val="004a4276"/>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4C2C7D44390BF0DDB76A8E0DE48815F7D2D3CBAE28472A5F54A80D245BE8F225D0763BB02456A46b0G" TargetMode="External"/><Relationship Id="rId3" Type="http://schemas.openxmlformats.org/officeDocument/2006/relationships/hyperlink" Target="consultantplus://offline/ref=C4C2C7D44390BF0DDB76A8E0DE48815F722038BBE68472A5F54A80D245BE8F225D0763BB02456A46b0G" TargetMode="External"/><Relationship Id="rId4" Type="http://schemas.openxmlformats.org/officeDocument/2006/relationships/hyperlink" Target="consultantplus://offline/ref=C4C2C7D44390BF0DDB76A8E0DE48815F742B38B9E5882FAFFD138CD042B1D0355A4E6FBA02456A6942b0G" TargetMode="Externa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121F3-F208-440D-9DCB-065E37B74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1612</TotalTime>
  <Application>LibreOffice/24.8.5.2$Linux_X86_64 LibreOffice_project/480$Build-2</Application>
  <AppVersion>15.0000</AppVersion>
  <Pages>18</Pages>
  <Words>5092</Words>
  <Characters>37741</Characters>
  <CharactersWithSpaces>42701</CharactersWithSpaces>
  <Paragraphs>346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2018-06-28T06:53:00Z</dcterms:created>
  <dc:creator>user</dc:creator>
  <dc:description/>
  <dc:language>ru-RU</dc:language>
  <cp:lastModifiedBy/>
  <cp:lastPrinted>2026-03-13T13:19:36Z</cp:lastPrinted>
  <dcterms:modified xsi:type="dcterms:W3CDTF">2026-03-13T13:19:42Z</dcterms:modified>
  <cp:revision>366</cp:revision>
  <dc:subject/>
  <dc:title/>
</cp:coreProperties>
</file>

<file path=docProps/custom.xml><?xml version="1.0" encoding="utf-8"?>
<Properties xmlns="http://schemas.openxmlformats.org/officeDocument/2006/custom-properties" xmlns:vt="http://schemas.openxmlformats.org/officeDocument/2006/docPropsVTypes"/>
</file>